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262B3">
      <w:pPr>
        <w:widowControl w:val="0"/>
        <w:autoSpaceDE w:val="0"/>
        <w:autoSpaceDN w:val="0"/>
        <w:adjustRightInd w:val="0"/>
        <w:rPr>
          <w:sz w:val="24"/>
          <w:szCs w:val="24"/>
        </w:rPr>
      </w:pPr>
      <w:bookmarkStart w:id="0" w:name="_GoBack"/>
      <w:bookmarkEnd w:id="0"/>
    </w:p>
    <w:p w:rsidR="00000000" w:rsidRDefault="002262B3">
      <w:pPr>
        <w:widowControl w:val="0"/>
        <w:autoSpaceDE w:val="0"/>
        <w:autoSpaceDN w:val="0"/>
        <w:adjustRightInd w:val="0"/>
        <w:rPr>
          <w:rFonts w:ascii="Arial" w:hAnsi="Arial" w:cs="Arial"/>
          <w:sz w:val="24"/>
          <w:szCs w:val="24"/>
        </w:rPr>
        <w:sectPr w:rsidR="00000000">
          <w:headerReference w:type="default" r:id="rId7"/>
          <w:footerReference w:type="default" r:id="rId8"/>
          <w:pgSz w:w="12240" w:h="15840"/>
          <w:pgMar w:top="1800" w:right="1080" w:bottom="1080" w:left="1080" w:header="720" w:footer="720" w:gutter="0"/>
          <w:cols w:space="720"/>
          <w:noEndnote/>
        </w:sectPr>
      </w:pPr>
    </w:p>
    <w:p w:rsidR="00000000" w:rsidRDefault="002262B3">
      <w:pPr>
        <w:widowControl w:val="0"/>
        <w:autoSpaceDE w:val="0"/>
        <w:autoSpaceDN w:val="0"/>
        <w:adjustRightInd w:val="0"/>
        <w:jc w:val="both"/>
        <w:rPr>
          <w:color w:val="000000"/>
        </w:rPr>
      </w:pPr>
      <w:bookmarkStart w:id="1" w:name="co_document_1"/>
      <w:bookmarkStart w:id="2" w:name="Ib3fd6f52efe011e3a795ac035416da91_Target"/>
      <w:bookmarkEnd w:id="1"/>
      <w:bookmarkEnd w:id="2"/>
    </w:p>
    <w:p w:rsidR="00000000" w:rsidRDefault="002262B3">
      <w:pPr>
        <w:widowControl w:val="0"/>
        <w:autoSpaceDE w:val="0"/>
        <w:autoSpaceDN w:val="0"/>
        <w:adjustRightInd w:val="0"/>
        <w:jc w:val="center"/>
        <w:rPr>
          <w:rFonts w:ascii="Georgia" w:hAnsi="Georgia" w:cs="Georgia"/>
          <w:color w:val="000000"/>
        </w:rPr>
      </w:pPr>
      <w:r>
        <w:rPr>
          <w:rFonts w:ascii="Georgia" w:hAnsi="Georgia" w:cs="Georgia"/>
          <w:color w:val="000000"/>
        </w:rPr>
        <w:t>754 F.3d 114</w:t>
      </w:r>
    </w:p>
    <w:p w:rsidR="00000000" w:rsidRDefault="002262B3">
      <w:pPr>
        <w:widowControl w:val="0"/>
        <w:autoSpaceDE w:val="0"/>
        <w:autoSpaceDN w:val="0"/>
        <w:adjustRightInd w:val="0"/>
        <w:jc w:val="center"/>
        <w:rPr>
          <w:rFonts w:ascii="Georgia" w:hAnsi="Georgia" w:cs="Georgia"/>
          <w:color w:val="000000"/>
        </w:rPr>
      </w:pPr>
      <w:r>
        <w:rPr>
          <w:rFonts w:ascii="Georgia" w:hAnsi="Georgia" w:cs="Georgia"/>
          <w:color w:val="000000"/>
        </w:rPr>
        <w:t>United States Court of Appeals,</w:t>
      </w:r>
    </w:p>
    <w:p w:rsidR="00000000" w:rsidRDefault="002262B3">
      <w:pPr>
        <w:widowControl w:val="0"/>
        <w:autoSpaceDE w:val="0"/>
        <w:autoSpaceDN w:val="0"/>
        <w:adjustRightInd w:val="0"/>
        <w:jc w:val="center"/>
        <w:rPr>
          <w:rFonts w:ascii="Georgia" w:hAnsi="Georgia" w:cs="Georgia"/>
          <w:color w:val="000000"/>
        </w:rPr>
      </w:pPr>
      <w:r>
        <w:rPr>
          <w:rFonts w:ascii="Georgia" w:hAnsi="Georgia" w:cs="Georgia"/>
          <w:color w:val="000000"/>
        </w:rPr>
        <w:t>Second Circuit.</w:t>
      </w:r>
    </w:p>
    <w:p w:rsidR="00000000" w:rsidRDefault="002262B3">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In re WORLD TRADE CENTER DISASTER SITE LITIGATION</w:t>
      </w:r>
    </w:p>
    <w:p w:rsidR="00000000" w:rsidRDefault="002262B3">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Christopher Cirino, et al., Plaintiffs</w:t>
      </w:r>
      <w:r>
        <w:rPr>
          <w:rFonts w:ascii="Georgia" w:hAnsi="Georgia" w:cs="Georgia"/>
          <w:color w:val="252525"/>
        </w:rPr>
        <w:t>–</w:t>
      </w:r>
      <w:r>
        <w:rPr>
          <w:rFonts w:ascii="Georgia" w:hAnsi="Georgia" w:cs="Georgia"/>
          <w:color w:val="252525"/>
        </w:rPr>
        <w:t>Appellees</w:t>
      </w:r>
      <w:r>
        <w:rPr>
          <w:rFonts w:ascii="Georgia" w:hAnsi="Georgia" w:cs="Georgia"/>
          <w:color w:val="252525"/>
        </w:rPr>
        <w:t>–</w:t>
      </w:r>
      <w:r>
        <w:rPr>
          <w:rFonts w:ascii="Georgia" w:hAnsi="Georgia" w:cs="Georgia"/>
          <w:color w:val="252525"/>
        </w:rPr>
        <w:t>Cross</w:t>
      </w:r>
      <w:r>
        <w:rPr>
          <w:rFonts w:ascii="Georgia" w:hAnsi="Georgia" w:cs="Georgia"/>
          <w:color w:val="252525"/>
        </w:rPr>
        <w:t>–</w:t>
      </w:r>
      <w:r>
        <w:rPr>
          <w:rFonts w:ascii="Georgia" w:hAnsi="Georgia" w:cs="Georgia"/>
          <w:color w:val="252525"/>
        </w:rPr>
        <w:t>Appellants,</w:t>
      </w:r>
    </w:p>
    <w:p w:rsidR="00000000" w:rsidRDefault="002262B3">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rsidR="00000000" w:rsidRDefault="002262B3">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City of New York, et al., Defendants</w:t>
      </w:r>
      <w:r>
        <w:rPr>
          <w:rFonts w:ascii="Georgia" w:hAnsi="Georgia" w:cs="Georgia"/>
          <w:color w:val="252525"/>
        </w:rPr>
        <w:t>–</w:t>
      </w:r>
      <w:r>
        <w:rPr>
          <w:rFonts w:ascii="Georgia" w:hAnsi="Georgia" w:cs="Georgia"/>
          <w:color w:val="252525"/>
        </w:rPr>
        <w:t>Appellants</w:t>
      </w:r>
      <w:r>
        <w:rPr>
          <w:rFonts w:ascii="Georgia" w:hAnsi="Georgia" w:cs="Georgia"/>
          <w:color w:val="252525"/>
        </w:rPr>
        <w:t>–</w:t>
      </w:r>
      <w:r>
        <w:rPr>
          <w:rFonts w:ascii="Georgia" w:hAnsi="Georgia" w:cs="Georgia"/>
          <w:color w:val="252525"/>
        </w:rPr>
        <w:t>Cross</w:t>
      </w:r>
      <w:r>
        <w:rPr>
          <w:rFonts w:ascii="Georgia" w:hAnsi="Georgia" w:cs="Georgia"/>
          <w:color w:val="252525"/>
        </w:rPr>
        <w:t>–</w:t>
      </w:r>
      <w:r>
        <w:rPr>
          <w:rFonts w:ascii="Georgia" w:hAnsi="Georgia" w:cs="Georgia"/>
          <w:color w:val="252525"/>
        </w:rPr>
        <w:t>Appellees,</w:t>
      </w:r>
    </w:p>
    <w:p w:rsidR="00000000" w:rsidRDefault="002262B3">
      <w:pPr>
        <w:widowControl w:val="0"/>
        <w:autoSpaceDE w:val="0"/>
        <w:autoSpaceDN w:val="0"/>
        <w:adjustRightInd w:val="0"/>
        <w:spacing w:after="200"/>
        <w:ind w:left="100" w:right="100"/>
        <w:jc w:val="center"/>
        <w:rPr>
          <w:rFonts w:ascii="Georgia" w:hAnsi="Georgia" w:cs="Georgia"/>
          <w:color w:val="252525"/>
        </w:rPr>
      </w:pPr>
      <w:hyperlink r:id="rId9" w:history="1">
        <w:r>
          <w:rPr>
            <w:rFonts w:ascii="Georgia" w:hAnsi="Georgia" w:cs="Georgia"/>
            <w:color w:val="000000"/>
          </w:rPr>
          <w:t>Sullivan Papain Block McGrath &amp; Cannavo P.C.</w:t>
        </w:r>
      </w:hyperlink>
      <w:r>
        <w:rPr>
          <w:rFonts w:ascii="Georgia" w:hAnsi="Georgia" w:cs="Georgia"/>
          <w:color w:val="252525"/>
        </w:rPr>
        <w:t>, Interested Party</w:t>
      </w:r>
      <w:r>
        <w:rPr>
          <w:rFonts w:ascii="Georgia" w:hAnsi="Georgia" w:cs="Georgia"/>
          <w:color w:val="252525"/>
        </w:rPr>
        <w:t>–</w:t>
      </w:r>
      <w:r>
        <w:rPr>
          <w:rFonts w:ascii="Georgia" w:hAnsi="Georgia" w:cs="Georgia"/>
          <w:color w:val="252525"/>
        </w:rPr>
        <w:t>Cross</w:t>
      </w:r>
      <w:r>
        <w:rPr>
          <w:rFonts w:ascii="Georgia" w:hAnsi="Georgia" w:cs="Georgia"/>
          <w:color w:val="252525"/>
        </w:rPr>
        <w:t>–</w:t>
      </w:r>
      <w:r>
        <w:rPr>
          <w:rFonts w:ascii="Georgia" w:hAnsi="Georgia" w:cs="Georgia"/>
          <w:color w:val="252525"/>
        </w:rPr>
        <w:t>Appellant.</w:t>
      </w:r>
    </w:p>
    <w:p w:rsidR="00000000" w:rsidRDefault="002262B3">
      <w:pPr>
        <w:widowControl w:val="0"/>
        <w:autoSpaceDE w:val="0"/>
        <w:autoSpaceDN w:val="0"/>
        <w:adjustRightInd w:val="0"/>
        <w:ind w:left="200"/>
        <w:jc w:val="center"/>
        <w:rPr>
          <w:rFonts w:ascii="Georgia" w:hAnsi="Georgia" w:cs="Georgia"/>
          <w:color w:val="000000"/>
        </w:rPr>
      </w:pPr>
      <w:r>
        <w:rPr>
          <w:rFonts w:ascii="Georgia" w:hAnsi="Georgia" w:cs="Georgia"/>
          <w:color w:val="000000"/>
        </w:rPr>
        <w:t>Docket Nos. 11</w:t>
      </w:r>
      <w:r>
        <w:rPr>
          <w:rFonts w:ascii="Georgia" w:hAnsi="Georgia" w:cs="Georgia"/>
          <w:color w:val="000000"/>
        </w:rPr>
        <w:t>–</w:t>
      </w:r>
      <w:r>
        <w:rPr>
          <w:rFonts w:ascii="Georgia" w:hAnsi="Georgia" w:cs="Georgia"/>
          <w:color w:val="000000"/>
        </w:rPr>
        <w:t>4021</w:t>
      </w:r>
      <w:r>
        <w:rPr>
          <w:rFonts w:ascii="Georgia" w:hAnsi="Georgia" w:cs="Georgia"/>
          <w:color w:val="000000"/>
        </w:rPr>
        <w:t>–</w:t>
      </w:r>
      <w:r>
        <w:rPr>
          <w:rFonts w:ascii="Georgia" w:hAnsi="Georgia" w:cs="Georgia"/>
          <w:color w:val="000000"/>
        </w:rPr>
        <w:t>cv (L), 10</w:t>
      </w:r>
      <w:r>
        <w:rPr>
          <w:rFonts w:ascii="Georgia" w:hAnsi="Georgia" w:cs="Georgia"/>
          <w:color w:val="000000"/>
        </w:rPr>
        <w:t>–</w:t>
      </w:r>
      <w:r>
        <w:rPr>
          <w:rFonts w:ascii="Georgia" w:hAnsi="Georgia" w:cs="Georgia"/>
          <w:color w:val="000000"/>
        </w:rPr>
        <w:t>1377 (Con.), 10</w:t>
      </w:r>
      <w:r>
        <w:rPr>
          <w:rFonts w:ascii="Georgia" w:hAnsi="Georgia" w:cs="Georgia"/>
          <w:color w:val="000000"/>
        </w:rPr>
        <w:t>–</w:t>
      </w:r>
      <w:r>
        <w:rPr>
          <w:rFonts w:ascii="Georgia" w:hAnsi="Georgia" w:cs="Georgia"/>
          <w:color w:val="000000"/>
        </w:rPr>
        <w:t>1378 (Con.), 10</w:t>
      </w:r>
      <w:r>
        <w:rPr>
          <w:rFonts w:ascii="Georgia" w:hAnsi="Georgia" w:cs="Georgia"/>
          <w:color w:val="000000"/>
        </w:rPr>
        <w:t>–</w:t>
      </w:r>
      <w:r>
        <w:rPr>
          <w:rFonts w:ascii="Georgia" w:hAnsi="Georgia" w:cs="Georgia"/>
          <w:color w:val="000000"/>
        </w:rPr>
        <w:t>1379 (Con.), 10</w:t>
      </w:r>
      <w:r>
        <w:rPr>
          <w:rFonts w:ascii="Georgia" w:hAnsi="Georgia" w:cs="Georgia"/>
          <w:color w:val="000000"/>
        </w:rPr>
        <w:t>–</w:t>
      </w:r>
      <w:r>
        <w:rPr>
          <w:rFonts w:ascii="Georgia" w:hAnsi="Georgia" w:cs="Georgia"/>
          <w:color w:val="000000"/>
        </w:rPr>
        <w:t>2765 (Con.), 10</w:t>
      </w:r>
      <w:r>
        <w:rPr>
          <w:rFonts w:ascii="Georgia" w:hAnsi="Georgia" w:cs="Georgia"/>
          <w:color w:val="000000"/>
        </w:rPr>
        <w:t>–</w:t>
      </w:r>
      <w:r>
        <w:rPr>
          <w:rFonts w:ascii="Georgia" w:hAnsi="Georgia" w:cs="Georgia"/>
          <w:color w:val="000000"/>
        </w:rPr>
        <w:t>2794 (Con.), 10</w:t>
      </w:r>
      <w:r>
        <w:rPr>
          <w:rFonts w:ascii="Georgia" w:hAnsi="Georgia" w:cs="Georgia"/>
          <w:color w:val="000000"/>
        </w:rPr>
        <w:t>–</w:t>
      </w:r>
      <w:r>
        <w:rPr>
          <w:rFonts w:ascii="Georgia" w:hAnsi="Georgia" w:cs="Georgia"/>
          <w:color w:val="000000"/>
        </w:rPr>
        <w:t>2795 (Con.), 10</w:t>
      </w:r>
      <w:r>
        <w:rPr>
          <w:rFonts w:ascii="Georgia" w:hAnsi="Georgia" w:cs="Georgia"/>
          <w:color w:val="000000"/>
        </w:rPr>
        <w:t>–</w:t>
      </w:r>
      <w:r>
        <w:rPr>
          <w:rFonts w:ascii="Georgia" w:hAnsi="Georgia" w:cs="Georgia"/>
          <w:color w:val="000000"/>
        </w:rPr>
        <w:t>3172(XAP), 10</w:t>
      </w:r>
      <w:r>
        <w:rPr>
          <w:rFonts w:ascii="Georgia" w:hAnsi="Georgia" w:cs="Georgia"/>
          <w:color w:val="000000"/>
        </w:rPr>
        <w:t>–</w:t>
      </w:r>
      <w:r>
        <w:rPr>
          <w:rFonts w:ascii="Georgia" w:hAnsi="Georgia" w:cs="Georgia"/>
          <w:color w:val="000000"/>
        </w:rPr>
        <w:t>3175(XA</w:t>
      </w:r>
      <w:r>
        <w:rPr>
          <w:rFonts w:ascii="Georgia" w:hAnsi="Georgia" w:cs="Georgia"/>
          <w:color w:val="000000"/>
        </w:rPr>
        <w:t>P), 10</w:t>
      </w:r>
      <w:r>
        <w:rPr>
          <w:rFonts w:ascii="Georgia" w:hAnsi="Georgia" w:cs="Georgia"/>
          <w:color w:val="000000"/>
        </w:rPr>
        <w:t>–</w:t>
      </w:r>
      <w:r>
        <w:rPr>
          <w:rFonts w:ascii="Georgia" w:hAnsi="Georgia" w:cs="Georgia"/>
          <w:color w:val="000000"/>
        </w:rPr>
        <w:t>3176(XAP), 11</w:t>
      </w:r>
      <w:r>
        <w:rPr>
          <w:rFonts w:ascii="Georgia" w:hAnsi="Georgia" w:cs="Georgia"/>
          <w:color w:val="000000"/>
        </w:rPr>
        <w:t>–</w:t>
      </w:r>
      <w:r>
        <w:rPr>
          <w:rFonts w:ascii="Georgia" w:hAnsi="Georgia" w:cs="Georgia"/>
          <w:color w:val="000000"/>
        </w:rPr>
        <w:t>0355 (Con.), 11</w:t>
      </w:r>
      <w:r>
        <w:rPr>
          <w:rFonts w:ascii="Georgia" w:hAnsi="Georgia" w:cs="Georgia"/>
          <w:color w:val="000000"/>
        </w:rPr>
        <w:t>–</w:t>
      </w:r>
      <w:r>
        <w:rPr>
          <w:rFonts w:ascii="Georgia" w:hAnsi="Georgia" w:cs="Georgia"/>
          <w:color w:val="000000"/>
        </w:rPr>
        <w:t>0392 (Con.), 11</w:t>
      </w:r>
      <w:r>
        <w:rPr>
          <w:rFonts w:ascii="Georgia" w:hAnsi="Georgia" w:cs="Georgia"/>
          <w:color w:val="000000"/>
        </w:rPr>
        <w:t>–</w:t>
      </w:r>
      <w:r>
        <w:rPr>
          <w:rFonts w:ascii="Georgia" w:hAnsi="Georgia" w:cs="Georgia"/>
          <w:color w:val="000000"/>
        </w:rPr>
        <w:t>0411 (Con.), 11</w:t>
      </w:r>
      <w:r>
        <w:rPr>
          <w:rFonts w:ascii="Georgia" w:hAnsi="Georgia" w:cs="Georgia"/>
          <w:color w:val="000000"/>
        </w:rPr>
        <w:t>–</w:t>
      </w:r>
      <w:r>
        <w:rPr>
          <w:rFonts w:ascii="Georgia" w:hAnsi="Georgia" w:cs="Georgia"/>
          <w:color w:val="000000"/>
        </w:rPr>
        <w:t>3902 (Con.), 11</w:t>
      </w:r>
      <w:r>
        <w:rPr>
          <w:rFonts w:ascii="Georgia" w:hAnsi="Georgia" w:cs="Georgia"/>
          <w:color w:val="000000"/>
        </w:rPr>
        <w:t>–</w:t>
      </w:r>
      <w:r>
        <w:rPr>
          <w:rFonts w:ascii="Georgia" w:hAnsi="Georgia" w:cs="Georgia"/>
          <w:color w:val="000000"/>
        </w:rPr>
        <w:t>3903 (Con.), 11</w:t>
      </w:r>
      <w:r>
        <w:rPr>
          <w:rFonts w:ascii="Georgia" w:hAnsi="Georgia" w:cs="Georgia"/>
          <w:color w:val="000000"/>
        </w:rPr>
        <w:t>–</w:t>
      </w:r>
      <w:r>
        <w:rPr>
          <w:rFonts w:ascii="Georgia" w:hAnsi="Georgia" w:cs="Georgia"/>
          <w:color w:val="000000"/>
        </w:rPr>
        <w:t>3925 (Con.), 11</w:t>
      </w:r>
      <w:r>
        <w:rPr>
          <w:rFonts w:ascii="Georgia" w:hAnsi="Georgia" w:cs="Georgia"/>
          <w:color w:val="000000"/>
        </w:rPr>
        <w:t>–</w:t>
      </w:r>
      <w:r>
        <w:rPr>
          <w:rFonts w:ascii="Georgia" w:hAnsi="Georgia" w:cs="Georgia"/>
          <w:color w:val="000000"/>
        </w:rPr>
        <w:t>3933 (Con.), 11</w:t>
      </w:r>
      <w:r>
        <w:rPr>
          <w:rFonts w:ascii="Georgia" w:hAnsi="Georgia" w:cs="Georgia"/>
          <w:color w:val="000000"/>
        </w:rPr>
        <w:t>–</w:t>
      </w:r>
      <w:r>
        <w:rPr>
          <w:rFonts w:ascii="Georgia" w:hAnsi="Georgia" w:cs="Georgia"/>
          <w:color w:val="000000"/>
        </w:rPr>
        <w:t>3937 (Con.), 11</w:t>
      </w:r>
      <w:r>
        <w:rPr>
          <w:rFonts w:ascii="Georgia" w:hAnsi="Georgia" w:cs="Georgia"/>
          <w:color w:val="000000"/>
        </w:rPr>
        <w:t>–</w:t>
      </w:r>
      <w:r>
        <w:rPr>
          <w:rFonts w:ascii="Georgia" w:hAnsi="Georgia" w:cs="Georgia"/>
          <w:color w:val="000000"/>
        </w:rPr>
        <w:t>4313(XAP), 11</w:t>
      </w:r>
      <w:r>
        <w:rPr>
          <w:rFonts w:ascii="Georgia" w:hAnsi="Georgia" w:cs="Georgia"/>
          <w:color w:val="000000"/>
        </w:rPr>
        <w:t>–</w:t>
      </w:r>
      <w:r>
        <w:rPr>
          <w:rFonts w:ascii="Georgia" w:hAnsi="Georgia" w:cs="Georgia"/>
          <w:color w:val="000000"/>
        </w:rPr>
        <w:t>4317 (Con.), 11</w:t>
      </w:r>
      <w:r>
        <w:rPr>
          <w:rFonts w:ascii="Georgia" w:hAnsi="Georgia" w:cs="Georgia"/>
          <w:color w:val="000000"/>
        </w:rPr>
        <w:t>–</w:t>
      </w:r>
      <w:r>
        <w:rPr>
          <w:rFonts w:ascii="Georgia" w:hAnsi="Georgia" w:cs="Georgia"/>
          <w:color w:val="000000"/>
        </w:rPr>
        <w:t>4365(XAP), 11</w:t>
      </w:r>
      <w:r>
        <w:rPr>
          <w:rFonts w:ascii="Georgia" w:hAnsi="Georgia" w:cs="Georgia"/>
          <w:color w:val="000000"/>
        </w:rPr>
        <w:t>–</w:t>
      </w:r>
      <w:r>
        <w:rPr>
          <w:rFonts w:ascii="Georgia" w:hAnsi="Georgia" w:cs="Georgia"/>
          <w:color w:val="000000"/>
        </w:rPr>
        <w:t>4379(XAP), 11</w:t>
      </w:r>
      <w:r>
        <w:rPr>
          <w:rFonts w:ascii="Georgia" w:hAnsi="Georgia" w:cs="Georgia"/>
          <w:color w:val="000000"/>
        </w:rPr>
        <w:t>–</w:t>
      </w:r>
      <w:r>
        <w:rPr>
          <w:rFonts w:ascii="Georgia" w:hAnsi="Georgia" w:cs="Georgia"/>
          <w:color w:val="000000"/>
        </w:rPr>
        <w:t>4410(XAP), 11</w:t>
      </w:r>
      <w:r>
        <w:rPr>
          <w:rFonts w:ascii="Georgia" w:hAnsi="Georgia" w:cs="Georgia"/>
          <w:color w:val="000000"/>
        </w:rPr>
        <w:t>–</w:t>
      </w:r>
      <w:r>
        <w:rPr>
          <w:rFonts w:ascii="Georgia" w:hAnsi="Georgia" w:cs="Georgia"/>
          <w:color w:val="000000"/>
        </w:rPr>
        <w:t>4502(XAP), 11</w:t>
      </w:r>
      <w:r>
        <w:rPr>
          <w:rFonts w:ascii="Georgia" w:hAnsi="Georgia" w:cs="Georgia"/>
          <w:color w:val="000000"/>
        </w:rPr>
        <w:t>–</w:t>
      </w:r>
      <w:r>
        <w:rPr>
          <w:rFonts w:ascii="Georgia" w:hAnsi="Georgia" w:cs="Georgia"/>
          <w:color w:val="000000"/>
        </w:rPr>
        <w:t>4800(XAP), 11</w:t>
      </w:r>
      <w:r>
        <w:rPr>
          <w:rFonts w:ascii="Georgia" w:hAnsi="Georgia" w:cs="Georgia"/>
          <w:color w:val="000000"/>
        </w:rPr>
        <w:t>–</w:t>
      </w:r>
      <w:r>
        <w:rPr>
          <w:rFonts w:ascii="Georgia" w:hAnsi="Georgia" w:cs="Georgia"/>
          <w:color w:val="000000"/>
        </w:rPr>
        <w:t>4888(XA</w:t>
      </w:r>
      <w:r>
        <w:rPr>
          <w:rFonts w:ascii="Georgia" w:hAnsi="Georgia" w:cs="Georgia"/>
          <w:color w:val="000000"/>
        </w:rPr>
        <w:t>P), 12</w:t>
      </w:r>
      <w:r>
        <w:rPr>
          <w:rFonts w:ascii="Georgia" w:hAnsi="Georgia" w:cs="Georgia"/>
          <w:color w:val="000000"/>
        </w:rPr>
        <w:t>–</w:t>
      </w:r>
      <w:r>
        <w:rPr>
          <w:rFonts w:ascii="Georgia" w:hAnsi="Georgia" w:cs="Georgia"/>
          <w:color w:val="000000"/>
        </w:rPr>
        <w:t>2960 (Con.), 12</w:t>
      </w:r>
      <w:r>
        <w:rPr>
          <w:rFonts w:ascii="Georgia" w:hAnsi="Georgia" w:cs="Georgia"/>
          <w:color w:val="000000"/>
        </w:rPr>
        <w:t>–</w:t>
      </w:r>
      <w:r>
        <w:rPr>
          <w:rFonts w:ascii="Georgia" w:hAnsi="Georgia" w:cs="Georgia"/>
          <w:color w:val="000000"/>
        </w:rPr>
        <w:t>2963 (Con.), 12</w:t>
      </w:r>
      <w:r>
        <w:rPr>
          <w:rFonts w:ascii="Georgia" w:hAnsi="Georgia" w:cs="Georgia"/>
          <w:color w:val="000000"/>
        </w:rPr>
        <w:t>–</w:t>
      </w:r>
      <w:r>
        <w:rPr>
          <w:rFonts w:ascii="Georgia" w:hAnsi="Georgia" w:cs="Georgia"/>
          <w:color w:val="000000"/>
        </w:rPr>
        <w:t>2964(XAP), 12</w:t>
      </w:r>
      <w:r>
        <w:rPr>
          <w:rFonts w:ascii="Georgia" w:hAnsi="Georgia" w:cs="Georgia"/>
          <w:color w:val="000000"/>
        </w:rPr>
        <w:t>–</w:t>
      </w:r>
      <w:r>
        <w:rPr>
          <w:rFonts w:ascii="Georgia" w:hAnsi="Georgia" w:cs="Georgia"/>
          <w:color w:val="000000"/>
        </w:rPr>
        <w:t>2974 (Con.), 12</w:t>
      </w:r>
      <w:r>
        <w:rPr>
          <w:rFonts w:ascii="Georgia" w:hAnsi="Georgia" w:cs="Georgia"/>
          <w:color w:val="000000"/>
        </w:rPr>
        <w:t>–</w:t>
      </w:r>
      <w:r>
        <w:rPr>
          <w:rFonts w:ascii="Georgia" w:hAnsi="Georgia" w:cs="Georgia"/>
          <w:color w:val="000000"/>
        </w:rPr>
        <w:t>2977(XAP), 12</w:t>
      </w:r>
      <w:r>
        <w:rPr>
          <w:rFonts w:ascii="Georgia" w:hAnsi="Georgia" w:cs="Georgia"/>
          <w:color w:val="000000"/>
        </w:rPr>
        <w:t>–</w:t>
      </w:r>
      <w:r>
        <w:rPr>
          <w:rFonts w:ascii="Georgia" w:hAnsi="Georgia" w:cs="Georgia"/>
          <w:color w:val="000000"/>
        </w:rPr>
        <w:t>2998 (Con.), 12</w:t>
      </w:r>
      <w:r>
        <w:rPr>
          <w:rFonts w:ascii="Georgia" w:hAnsi="Georgia" w:cs="Georgia"/>
          <w:color w:val="000000"/>
        </w:rPr>
        <w:t>–</w:t>
      </w:r>
      <w:r>
        <w:rPr>
          <w:rFonts w:ascii="Georgia" w:hAnsi="Georgia" w:cs="Georgia"/>
          <w:color w:val="000000"/>
        </w:rPr>
        <w:t>3025(XAP), 12</w:t>
      </w:r>
      <w:r>
        <w:rPr>
          <w:rFonts w:ascii="Georgia" w:hAnsi="Georgia" w:cs="Georgia"/>
          <w:color w:val="000000"/>
        </w:rPr>
        <w:t>–</w:t>
      </w:r>
      <w:r>
        <w:rPr>
          <w:rFonts w:ascii="Georgia" w:hAnsi="Georgia" w:cs="Georgia"/>
          <w:color w:val="000000"/>
        </w:rPr>
        <w:t>3042 (Con.), 12</w:t>
      </w:r>
      <w:r>
        <w:rPr>
          <w:rFonts w:ascii="Georgia" w:hAnsi="Georgia" w:cs="Georgia"/>
          <w:color w:val="000000"/>
        </w:rPr>
        <w:t>–</w:t>
      </w:r>
      <w:r>
        <w:rPr>
          <w:rFonts w:ascii="Georgia" w:hAnsi="Georgia" w:cs="Georgia"/>
          <w:color w:val="000000"/>
        </w:rPr>
        <w:t>3185 (Con.), 12</w:t>
      </w:r>
      <w:r>
        <w:rPr>
          <w:rFonts w:ascii="Georgia" w:hAnsi="Georgia" w:cs="Georgia"/>
          <w:color w:val="000000"/>
        </w:rPr>
        <w:t>–</w:t>
      </w:r>
      <w:r>
        <w:rPr>
          <w:rFonts w:ascii="Georgia" w:hAnsi="Georgia" w:cs="Georgia"/>
          <w:color w:val="000000"/>
        </w:rPr>
        <w:t>3186(XAP), 12</w:t>
      </w:r>
      <w:r>
        <w:rPr>
          <w:rFonts w:ascii="Georgia" w:hAnsi="Georgia" w:cs="Georgia"/>
          <w:color w:val="000000"/>
        </w:rPr>
        <w:t>–</w:t>
      </w:r>
      <w:r>
        <w:rPr>
          <w:rFonts w:ascii="Georgia" w:hAnsi="Georgia" w:cs="Georgia"/>
          <w:color w:val="000000"/>
        </w:rPr>
        <w:t>3254 (Con.), 12</w:t>
      </w:r>
      <w:r>
        <w:rPr>
          <w:rFonts w:ascii="Georgia" w:hAnsi="Georgia" w:cs="Georgia"/>
          <w:color w:val="000000"/>
        </w:rPr>
        <w:t>–</w:t>
      </w:r>
      <w:r>
        <w:rPr>
          <w:rFonts w:ascii="Georgia" w:hAnsi="Georgia" w:cs="Georgia"/>
          <w:color w:val="000000"/>
        </w:rPr>
        <w:t>3282 (Con.).</w:t>
      </w:r>
    </w:p>
    <w:p w:rsidR="00000000" w:rsidRDefault="002262B3">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rsidR="00000000" w:rsidRDefault="002262B3">
      <w:pPr>
        <w:widowControl w:val="0"/>
        <w:autoSpaceDE w:val="0"/>
        <w:autoSpaceDN w:val="0"/>
        <w:adjustRightInd w:val="0"/>
        <w:ind w:left="200"/>
        <w:jc w:val="center"/>
        <w:rPr>
          <w:rFonts w:ascii="Georgia" w:hAnsi="Georgia" w:cs="Georgia"/>
          <w:color w:val="000000"/>
        </w:rPr>
      </w:pPr>
      <w:r>
        <w:rPr>
          <w:rFonts w:ascii="Georgia" w:hAnsi="Georgia" w:cs="Georgia"/>
          <w:color w:val="000000"/>
        </w:rPr>
        <w:t>Argued: April 11, 2013.</w:t>
      </w:r>
    </w:p>
    <w:p w:rsidR="00000000" w:rsidRDefault="002262B3">
      <w:pPr>
        <w:widowControl w:val="0"/>
        <w:autoSpaceDE w:val="0"/>
        <w:autoSpaceDN w:val="0"/>
        <w:adjustRightInd w:val="0"/>
        <w:ind w:left="200"/>
        <w:jc w:val="center"/>
        <w:rPr>
          <w:rFonts w:ascii="Georgia" w:hAnsi="Georgia" w:cs="Georgia"/>
          <w:color w:val="000000"/>
        </w:rPr>
      </w:pPr>
      <w:r>
        <w:rPr>
          <w:rFonts w:ascii="Georgia" w:hAnsi="Georgia" w:cs="Georgia"/>
          <w:color w:val="000000"/>
        </w:rPr>
        <w:t>|</w:t>
      </w:r>
    </w:p>
    <w:p w:rsidR="00000000" w:rsidRDefault="002262B3">
      <w:pPr>
        <w:widowControl w:val="0"/>
        <w:autoSpaceDE w:val="0"/>
        <w:autoSpaceDN w:val="0"/>
        <w:adjustRightInd w:val="0"/>
        <w:spacing w:after="200"/>
        <w:ind w:left="200"/>
        <w:jc w:val="center"/>
        <w:rPr>
          <w:rFonts w:ascii="Georgia" w:hAnsi="Georgia" w:cs="Georgia"/>
          <w:color w:val="000000"/>
        </w:rPr>
      </w:pPr>
      <w:r>
        <w:rPr>
          <w:rFonts w:ascii="Georgia" w:hAnsi="Georgia" w:cs="Georgia"/>
          <w:color w:val="000000"/>
        </w:rPr>
        <w:t>Decided: June 9, 2014.</w:t>
      </w:r>
    </w:p>
    <w:p w:rsidR="00000000" w:rsidRDefault="002262B3">
      <w:pPr>
        <w:widowControl w:val="0"/>
        <w:autoSpaceDE w:val="0"/>
        <w:autoSpaceDN w:val="0"/>
        <w:adjustRightInd w:val="0"/>
        <w:spacing w:before="400"/>
        <w:jc w:val="both"/>
        <w:rPr>
          <w:b/>
          <w:bCs/>
          <w:color w:val="212121"/>
        </w:rPr>
      </w:pPr>
      <w:bookmarkStart w:id="3" w:name="co_synopsis_1"/>
      <w:bookmarkEnd w:id="3"/>
      <w:r>
        <w:rPr>
          <w:b/>
          <w:bCs/>
          <w:color w:val="212121"/>
        </w:rPr>
        <w:t>Synopsis</w:t>
      </w:r>
    </w:p>
    <w:p w:rsidR="00000000" w:rsidRDefault="002262B3">
      <w:pPr>
        <w:widowControl w:val="0"/>
        <w:autoSpaceDE w:val="0"/>
        <w:autoSpaceDN w:val="0"/>
        <w:adjustRightInd w:val="0"/>
        <w:jc w:val="both"/>
        <w:rPr>
          <w:color w:val="000000"/>
        </w:rPr>
      </w:pPr>
      <w:r>
        <w:rPr>
          <w:b/>
          <w:bCs/>
          <w:color w:val="000000"/>
        </w:rPr>
        <w:t>Background:</w:t>
      </w:r>
      <w:r>
        <w:rPr>
          <w:color w:val="000000"/>
        </w:rPr>
        <w:t xml:space="preserve"> Workers involved in rescue and cleanup activities after the terrorist attacks of September 11, 2001, brought actions seeking damages for injuries allegedly caused by inhalation of dust and debris during rescue and cleanup activities. After consolidation o</w:t>
      </w:r>
      <w:r>
        <w:rPr>
          <w:color w:val="000000"/>
        </w:rPr>
        <w:t xml:space="preserve">f three separate actions, the workers entered settlement agreement with a captive insurance company. </w:t>
      </w:r>
      <w:hyperlink r:id="rId10" w:history="1">
        <w:r>
          <w:rPr>
            <w:color w:val="000000"/>
          </w:rPr>
          <w:t>The United States District Court for the Southern District of New York, Alvin K. Hellerstein, J., 834 F.Supp.2d 184</w:t>
        </w:r>
      </w:hyperlink>
      <w:r>
        <w:rPr>
          <w:color w:val="000000"/>
        </w:rPr>
        <w:t xml:space="preserve">, required </w:t>
      </w:r>
      <w:r>
        <w:rPr>
          <w:color w:val="000000"/>
        </w:rPr>
        <w:t xml:space="preserve">the insurance company to make bonus payments and contingent payments under the settlement agreement, </w:t>
      </w:r>
      <w:hyperlink r:id="rId11" w:history="1">
        <w:r>
          <w:rPr>
            <w:color w:val="000000"/>
          </w:rPr>
          <w:t>879 F.Supp.2d 396</w:t>
        </w:r>
      </w:hyperlink>
      <w:r>
        <w:rPr>
          <w:color w:val="000000"/>
        </w:rPr>
        <w:t>, but denied recovery of attorneys’ fees from those payments. Both parties appealed.</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spacing w:before="400"/>
        <w:jc w:val="both"/>
        <w:rPr>
          <w:color w:val="000000"/>
        </w:rPr>
      </w:pPr>
      <w:r>
        <w:rPr>
          <w:b/>
          <w:bCs/>
          <w:color w:val="000000"/>
        </w:rPr>
        <w:lastRenderedPageBreak/>
        <w:t>Holdings:</w:t>
      </w:r>
      <w:r>
        <w:rPr>
          <w:color w:val="000000"/>
        </w:rPr>
        <w:t xml:space="preserve"> The Court of</w:t>
      </w:r>
      <w:r>
        <w:rPr>
          <w:color w:val="000000"/>
        </w:rPr>
        <w:t xml:space="preserve"> Appeals, </w:t>
      </w:r>
      <w:hyperlink r:id="rId12" w:history="1">
        <w:r>
          <w:rPr>
            <w:color w:val="000000"/>
          </w:rPr>
          <w:t>Chin</w:t>
        </w:r>
      </w:hyperlink>
      <w:r>
        <w:rPr>
          <w:color w:val="000000"/>
        </w:rPr>
        <w:t>, Circuit Judge, held that: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hyperlink r:id="rId13" w:history="1">
        <w:r>
          <w:rPr>
            <w:color w:val="000000"/>
            <w:vertAlign w:val="superscript"/>
          </w:rPr>
          <w:t>[1]</w:t>
        </w:r>
      </w:hyperlink>
      <w:r>
        <w:rPr>
          <w:color w:val="000000"/>
        </w:rPr>
        <w:t xml:space="preserve"> the District Court was required to determine the parties’ intent with respect to involuntarily dismissed plaintiffs and a bonus pay</w:t>
      </w:r>
      <w:r>
        <w:rPr>
          <w:color w:val="000000"/>
        </w:rPr>
        <w:t>ment;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hyperlink r:id="rId14" w:history="1">
        <w:r>
          <w:rPr>
            <w:color w:val="000000"/>
            <w:vertAlign w:val="superscript"/>
          </w:rPr>
          <w:t>[2]</w:t>
        </w:r>
      </w:hyperlink>
      <w:r>
        <w:rPr>
          <w:color w:val="000000"/>
        </w:rPr>
        <w:t xml:space="preserve"> claims that were filed but dismissed were still new claims for purposes of contingent payment provision of settlement agreement; and</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hyperlink r:id="rId15" w:history="1">
        <w:r>
          <w:rPr>
            <w:color w:val="000000"/>
            <w:vertAlign w:val="superscript"/>
          </w:rPr>
          <w:t>[3]</w:t>
        </w:r>
      </w:hyperlink>
      <w:r>
        <w:rPr>
          <w:color w:val="000000"/>
        </w:rPr>
        <w:t xml:space="preserve"> the</w:t>
      </w:r>
      <w:r>
        <w:rPr>
          <w:color w:val="000000"/>
        </w:rPr>
        <w:t xml:space="preserve"> District Court did not abuse its discretion in holding that counsel for workers were not entitled to recover a contingent fee with respect to bonus payments under settlement agreement.</w:t>
      </w:r>
    </w:p>
    <w:p w:rsidR="00000000" w:rsidRDefault="002262B3">
      <w:pPr>
        <w:widowControl w:val="0"/>
        <w:autoSpaceDE w:val="0"/>
        <w:autoSpaceDN w:val="0"/>
        <w:adjustRightInd w:val="0"/>
        <w:spacing w:after="20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Affirmed in part, vacated in part, and remanded.</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spacing w:before="200" w:after="200"/>
        <w:jc w:val="both"/>
        <w:rPr>
          <w:b/>
          <w:bCs/>
          <w:color w:val="212121"/>
        </w:rPr>
      </w:pPr>
      <w:bookmarkStart w:id="4" w:name="co_attorneysAndLawFirms_1"/>
      <w:bookmarkEnd w:id="4"/>
      <w:r>
        <w:rPr>
          <w:b/>
          <w:bCs/>
          <w:color w:val="212121"/>
        </w:rPr>
        <w:t>Attorneys and Law Firms</w:t>
      </w:r>
    </w:p>
    <w:p w:rsidR="00000000" w:rsidRDefault="002262B3">
      <w:pPr>
        <w:widowControl w:val="0"/>
        <w:autoSpaceDE w:val="0"/>
        <w:autoSpaceDN w:val="0"/>
        <w:adjustRightInd w:val="0"/>
        <w:jc w:val="both"/>
        <w:rPr>
          <w:color w:val="000000"/>
        </w:rPr>
      </w:pPr>
      <w:bookmarkStart w:id="5" w:name="co_pp_sp_506_117_1"/>
      <w:bookmarkEnd w:id="5"/>
      <w:r>
        <w:rPr>
          <w:b/>
          <w:bCs/>
          <w:color w:val="000000"/>
        </w:rPr>
        <w:t>*117</w:t>
      </w:r>
      <w:r>
        <w:rPr>
          <w:color w:val="000000"/>
        </w:rPr>
        <w:t xml:space="preserve"> </w:t>
      </w:r>
      <w:hyperlink r:id="rId16" w:history="1">
        <w:r>
          <w:rPr>
            <w:color w:val="000000"/>
          </w:rPr>
          <w:t>Denise A. Rubin</w:t>
        </w:r>
      </w:hyperlink>
      <w:r>
        <w:rPr>
          <w:color w:val="000000"/>
        </w:rPr>
        <w:t xml:space="preserve"> (</w:t>
      </w:r>
      <w:hyperlink r:id="rId17" w:history="1">
        <w:r>
          <w:rPr>
            <w:color w:val="000000"/>
          </w:rPr>
          <w:t>Paul J. Napoli</w:t>
        </w:r>
      </w:hyperlink>
      <w:r>
        <w:rPr>
          <w:color w:val="000000"/>
        </w:rPr>
        <w:t>, on the brief), Worby Groner Edelman &amp; Napoli Bern, LLP, New York, NY, for</w:t>
      </w:r>
      <w:r>
        <w:rPr>
          <w:color w:val="000000"/>
        </w:rPr>
        <w:t xml:space="preserve"> Plaintiffs</w:t>
      </w:r>
      <w:r>
        <w:rPr>
          <w:color w:val="000000"/>
        </w:rPr>
        <w:t>–</w:t>
      </w:r>
      <w:r>
        <w:rPr>
          <w:color w:val="000000"/>
        </w:rPr>
        <w:t>Appellees</w:t>
      </w:r>
      <w:r>
        <w:rPr>
          <w:color w:val="000000"/>
        </w:rPr>
        <w:t>–</w:t>
      </w:r>
      <w:r>
        <w:rPr>
          <w:color w:val="000000"/>
        </w:rPr>
        <w:t>Cross</w:t>
      </w:r>
      <w:r>
        <w:rPr>
          <w:color w:val="000000"/>
        </w:rPr>
        <w:t>–</w:t>
      </w:r>
      <w:r>
        <w:rPr>
          <w:color w:val="000000"/>
        </w:rPr>
        <w:t>Appellants.</w:t>
      </w:r>
    </w:p>
    <w:p w:rsidR="00000000" w:rsidRDefault="002262B3">
      <w:pPr>
        <w:widowControl w:val="0"/>
        <w:autoSpaceDE w:val="0"/>
        <w:autoSpaceDN w:val="0"/>
        <w:adjustRightInd w:val="0"/>
        <w:spacing w:before="200"/>
        <w:jc w:val="both"/>
        <w:rPr>
          <w:color w:val="000000"/>
        </w:rPr>
      </w:pPr>
      <w:hyperlink r:id="rId18" w:history="1">
        <w:r>
          <w:rPr>
            <w:color w:val="000000"/>
          </w:rPr>
          <w:t>Brian J. Shoot</w:t>
        </w:r>
      </w:hyperlink>
      <w:r>
        <w:rPr>
          <w:color w:val="000000"/>
        </w:rPr>
        <w:t xml:space="preserve"> (</w:t>
      </w:r>
      <w:hyperlink r:id="rId19" w:history="1">
        <w:r>
          <w:rPr>
            <w:color w:val="000000"/>
          </w:rPr>
          <w:t>Andrew J. Carboy</w:t>
        </w:r>
      </w:hyperlink>
      <w:r>
        <w:rPr>
          <w:color w:val="000000"/>
        </w:rPr>
        <w:t xml:space="preserve">, </w:t>
      </w:r>
      <w:hyperlink r:id="rId20" w:history="1">
        <w:r>
          <w:rPr>
            <w:color w:val="000000"/>
          </w:rPr>
          <w:t>Nicholas Papain</w:t>
        </w:r>
      </w:hyperlink>
      <w:r>
        <w:rPr>
          <w:color w:val="000000"/>
        </w:rPr>
        <w:t xml:space="preserve">, </w:t>
      </w:r>
      <w:hyperlink r:id="rId21" w:history="1">
        <w:r>
          <w:rPr>
            <w:color w:val="000000"/>
          </w:rPr>
          <w:t>Wendell Y. Tong</w:t>
        </w:r>
      </w:hyperlink>
      <w:r>
        <w:rPr>
          <w:color w:val="000000"/>
        </w:rPr>
        <w:t>, on the brief), Sullivan Papain Block McGrath</w:t>
      </w:r>
      <w:r>
        <w:rPr>
          <w:color w:val="000000"/>
        </w:rPr>
        <w:t xml:space="preserve"> &amp; Cannavo P.C., New York, NY, for Sullivan Plaintiffs</w:t>
      </w:r>
      <w:r>
        <w:rPr>
          <w:color w:val="000000"/>
        </w:rPr>
        <w:t>–</w:t>
      </w:r>
      <w:r>
        <w:rPr>
          <w:color w:val="000000"/>
        </w:rPr>
        <w:t>Appellees and Interested Party</w:t>
      </w:r>
      <w:r>
        <w:rPr>
          <w:color w:val="000000"/>
        </w:rPr>
        <w:t>–</w:t>
      </w:r>
      <w:r>
        <w:rPr>
          <w:color w:val="000000"/>
        </w:rPr>
        <w:t>Cross</w:t>
      </w:r>
      <w:r>
        <w:rPr>
          <w:color w:val="000000"/>
        </w:rPr>
        <w:t>–</w:t>
      </w:r>
      <w:r>
        <w:rPr>
          <w:color w:val="000000"/>
        </w:rPr>
        <w:t>Appellant.</w:t>
      </w:r>
    </w:p>
    <w:p w:rsidR="00000000" w:rsidRDefault="002262B3">
      <w:pPr>
        <w:widowControl w:val="0"/>
        <w:autoSpaceDE w:val="0"/>
        <w:autoSpaceDN w:val="0"/>
        <w:adjustRightInd w:val="0"/>
        <w:spacing w:before="200"/>
        <w:jc w:val="both"/>
        <w:rPr>
          <w:color w:val="000000"/>
        </w:rPr>
      </w:pPr>
      <w:hyperlink r:id="rId22" w:history="1">
        <w:r>
          <w:rPr>
            <w:color w:val="000000"/>
          </w:rPr>
          <w:t>Margaret H. Warner</w:t>
        </w:r>
      </w:hyperlink>
      <w:r>
        <w:rPr>
          <w:color w:val="000000"/>
        </w:rPr>
        <w:t xml:space="preserve"> (</w:t>
      </w:r>
      <w:hyperlink r:id="rId23" w:history="1">
        <w:r>
          <w:rPr>
            <w:color w:val="000000"/>
          </w:rPr>
          <w:t>M. Miller Baker</w:t>
        </w:r>
      </w:hyperlink>
      <w:r>
        <w:rPr>
          <w:color w:val="000000"/>
        </w:rPr>
        <w:t xml:space="preserve">, </w:t>
      </w:r>
      <w:hyperlink r:id="rId24" w:history="1">
        <w:r>
          <w:rPr>
            <w:color w:val="000000"/>
          </w:rPr>
          <w:t>Mark A. Collins</w:t>
        </w:r>
      </w:hyperlink>
      <w:r>
        <w:rPr>
          <w:color w:val="000000"/>
        </w:rPr>
        <w:t xml:space="preserve">, </w:t>
      </w:r>
      <w:hyperlink r:id="rId25" w:history="1">
        <w:r>
          <w:rPr>
            <w:color w:val="000000"/>
          </w:rPr>
          <w:t xml:space="preserve">Joshua </w:t>
        </w:r>
        <w:r>
          <w:rPr>
            <w:color w:val="000000"/>
          </w:rPr>
          <w:t>D. Rogaczewski</w:t>
        </w:r>
      </w:hyperlink>
      <w:r>
        <w:rPr>
          <w:color w:val="000000"/>
        </w:rPr>
        <w:t>, on the brief), McDermott Will &amp; Emery, New York, NY, for Appellant WTC Captive Insurance Company, Inc.</w:t>
      </w:r>
    </w:p>
    <w:p w:rsidR="00000000" w:rsidRDefault="002262B3">
      <w:pPr>
        <w:widowControl w:val="0"/>
        <w:autoSpaceDE w:val="0"/>
        <w:autoSpaceDN w:val="0"/>
        <w:adjustRightInd w:val="0"/>
        <w:spacing w:before="200"/>
        <w:jc w:val="both"/>
        <w:rPr>
          <w:color w:val="000000"/>
        </w:rPr>
      </w:pPr>
      <w:hyperlink r:id="rId26" w:history="1">
        <w:r>
          <w:rPr>
            <w:color w:val="000000"/>
          </w:rPr>
          <w:t>James E. Tyrell, Jr.</w:t>
        </w:r>
      </w:hyperlink>
      <w:r>
        <w:rPr>
          <w:color w:val="000000"/>
        </w:rPr>
        <w:t xml:space="preserve">, </w:t>
      </w:r>
      <w:hyperlink r:id="rId27" w:history="1">
        <w:r>
          <w:rPr>
            <w:color w:val="000000"/>
          </w:rPr>
          <w:t>Joseph E. Hopkins</w:t>
        </w:r>
      </w:hyperlink>
      <w:r>
        <w:rPr>
          <w:color w:val="000000"/>
        </w:rPr>
        <w:t xml:space="preserve">, </w:t>
      </w:r>
      <w:hyperlink r:id="rId28" w:history="1">
        <w:r>
          <w:rPr>
            <w:color w:val="000000"/>
          </w:rPr>
          <w:t>Jason W. Rockwell</w:t>
        </w:r>
      </w:hyperlink>
      <w:r>
        <w:rPr>
          <w:color w:val="000000"/>
        </w:rPr>
        <w:t xml:space="preserve">, </w:t>
      </w:r>
      <w:hyperlink r:id="rId29" w:history="1">
        <w:r>
          <w:rPr>
            <w:color w:val="000000"/>
          </w:rPr>
          <w:t>Alyson N. Villano</w:t>
        </w:r>
      </w:hyperlink>
      <w:r>
        <w:rPr>
          <w:color w:val="000000"/>
        </w:rPr>
        <w:t>, Patton Boggs, LLP, Newark, N.J., for Defendant</w:t>
      </w:r>
      <w:r>
        <w:rPr>
          <w:color w:val="000000"/>
        </w:rPr>
        <w:t>–</w:t>
      </w:r>
      <w:r>
        <w:rPr>
          <w:color w:val="000000"/>
        </w:rPr>
        <w:t>Appellants</w:t>
      </w:r>
      <w:r>
        <w:rPr>
          <w:color w:val="000000"/>
        </w:rPr>
        <w:t>–</w:t>
      </w:r>
      <w:r>
        <w:rPr>
          <w:color w:val="000000"/>
        </w:rPr>
        <w:t>Cross Appellees City of New York and Contractors.</w:t>
      </w:r>
    </w:p>
    <w:p w:rsidR="00000000" w:rsidRDefault="002262B3">
      <w:pPr>
        <w:widowControl w:val="0"/>
        <w:autoSpaceDE w:val="0"/>
        <w:autoSpaceDN w:val="0"/>
        <w:adjustRightInd w:val="0"/>
        <w:spacing w:before="200"/>
        <w:jc w:val="both"/>
        <w:rPr>
          <w:color w:val="000000"/>
        </w:rPr>
      </w:pPr>
      <w:hyperlink r:id="rId30" w:history="1">
        <w:r>
          <w:rPr>
            <w:color w:val="000000"/>
          </w:rPr>
          <w:t>Evan R. Chesler</w:t>
        </w:r>
      </w:hyperlink>
      <w:r>
        <w:rPr>
          <w:color w:val="000000"/>
        </w:rPr>
        <w:t xml:space="preserve"> (</w:t>
      </w:r>
      <w:hyperlink r:id="rId31" w:history="1">
        <w:r>
          <w:rPr>
            <w:color w:val="000000"/>
          </w:rPr>
          <w:t>Antony L. Ryan</w:t>
        </w:r>
      </w:hyperlink>
      <w:r>
        <w:rPr>
          <w:color w:val="000000"/>
        </w:rPr>
        <w:t>, on th</w:t>
      </w:r>
      <w:r>
        <w:rPr>
          <w:color w:val="000000"/>
        </w:rPr>
        <w:t>e brief), Cravath, Swaine &amp; Moore LLP, New York, NY, Amicus Curiae Appointed Counsel.</w:t>
      </w:r>
    </w:p>
    <w:p w:rsidR="00000000" w:rsidRDefault="002262B3">
      <w:pPr>
        <w:widowControl w:val="0"/>
        <w:autoSpaceDE w:val="0"/>
        <w:autoSpaceDN w:val="0"/>
        <w:adjustRightInd w:val="0"/>
        <w:jc w:val="both"/>
        <w:rPr>
          <w:color w:val="000000"/>
          <w:sz w:val="16"/>
          <w:szCs w:val="16"/>
        </w:rPr>
      </w:pPr>
      <w:r>
        <w:rPr>
          <w:color w:val="000000"/>
        </w:rPr>
        <w:t xml:space="preserve">Before: </w:t>
      </w:r>
      <w:hyperlink r:id="rId32" w:history="1">
        <w:r>
          <w:rPr>
            <w:color w:val="000000"/>
          </w:rPr>
          <w:t>HALL</w:t>
        </w:r>
      </w:hyperlink>
      <w:r>
        <w:rPr>
          <w:color w:val="000000"/>
        </w:rPr>
        <w:t xml:space="preserve"> and </w:t>
      </w:r>
      <w:hyperlink r:id="rId33" w:history="1">
        <w:r>
          <w:rPr>
            <w:color w:val="000000"/>
          </w:rPr>
          <w:t>CHIN</w:t>
        </w:r>
      </w:hyperlink>
      <w:r>
        <w:rPr>
          <w:color w:val="000000"/>
        </w:rPr>
        <w:t>, Circuit Judges, and RESTANI, Judge.</w:t>
      </w:r>
      <w:bookmarkStart w:id="6" w:name="co_footnoteReference_B0012033547687_ID0E"/>
      <w:bookmarkEnd w:id="6"/>
      <w:r>
        <w:rPr>
          <w:color w:val="000000"/>
          <w:sz w:val="16"/>
          <w:szCs w:val="16"/>
        </w:rPr>
        <w:fldChar w:fldCharType="begin"/>
      </w:r>
      <w:r>
        <w:rPr>
          <w:color w:val="000000"/>
          <w:sz w:val="16"/>
          <w:szCs w:val="16"/>
        </w:rPr>
        <w:instrText>HYPERLINK</w:instrText>
      </w:r>
      <w:r>
        <w:rPr>
          <w:color w:val="000000"/>
          <w:sz w:val="16"/>
          <w:szCs w:val="16"/>
        </w:rPr>
        <w:instrText xml:space="preserve"> "#co_footnote_B0012033547687_1" </w:instrText>
      </w:r>
      <w:r>
        <w:rPr>
          <w:color w:val="000000"/>
          <w:sz w:val="16"/>
          <w:szCs w:val="16"/>
        </w:rPr>
      </w:r>
      <w:r>
        <w:rPr>
          <w:color w:val="000000"/>
          <w:sz w:val="16"/>
          <w:szCs w:val="16"/>
        </w:rPr>
        <w:fldChar w:fldCharType="separate"/>
      </w:r>
      <w:r>
        <w:rPr>
          <w:color w:val="000000"/>
          <w:sz w:val="16"/>
          <w:szCs w:val="16"/>
          <w:vertAlign w:val="superscript"/>
        </w:rPr>
        <w:t>*</w:t>
      </w:r>
      <w:r>
        <w:rPr>
          <w:color w:val="000000"/>
          <w:sz w:val="16"/>
          <w:szCs w:val="16"/>
        </w:rPr>
        <w:fldChar w:fldCharType="end"/>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7" w:name="co_footnote_B0012033547687_1"/>
          <w:bookmarkEnd w:id="7"/>
          <w:p w:rsidR="00000000" w:rsidRDefault="002262B3">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"#co_footnoteReference_B0012033547687_ID0E" </w:instrText>
            </w:r>
            <w:r>
              <w:rPr>
                <w:color w:val="000000"/>
              </w:rPr>
            </w:r>
            <w:r>
              <w:rPr>
                <w:color w:val="000000"/>
              </w:rPr>
              <w:fldChar w:fldCharType="separate"/>
            </w:r>
            <w:r>
              <w:rPr>
                <w:color w:val="000000"/>
                <w:vertAlign w:val="superscript"/>
              </w:rPr>
              <w:t>*</w:t>
            </w:r>
            <w:r>
              <w:rPr>
                <w:color w:val="000000"/>
              </w:rPr>
              <w:fldChar w:fldCharType="end"/>
            </w:r>
          </w:p>
          <w:p w:rsidR="00000000" w:rsidRDefault="002262B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62B3">
            <w:pPr>
              <w:widowControl w:val="0"/>
              <w:autoSpaceDE w:val="0"/>
              <w:autoSpaceDN w:val="0"/>
              <w:adjustRightInd w:val="0"/>
              <w:jc w:val="both"/>
              <w:rPr>
                <w:color w:val="000000"/>
                <w:sz w:val="18"/>
                <w:szCs w:val="18"/>
              </w:rPr>
            </w:pPr>
            <w:r>
              <w:rPr>
                <w:color w:val="000000"/>
                <w:sz w:val="18"/>
                <w:szCs w:val="18"/>
              </w:rPr>
              <w:lastRenderedPageBreak/>
              <w:t xml:space="preserve">The Honorable Jane A. Restani, of the United States </w:t>
            </w:r>
            <w:r>
              <w:rPr>
                <w:color w:val="000000"/>
                <w:sz w:val="18"/>
                <w:szCs w:val="18"/>
              </w:rPr>
              <w:lastRenderedPageBreak/>
              <w:t>Court of International Trade, sitting by designation.</w:t>
            </w:r>
          </w:p>
          <w:p w:rsidR="00000000" w:rsidRDefault="002262B3">
            <w:pPr>
              <w:widowControl w:val="0"/>
              <w:autoSpaceDE w:val="0"/>
              <w:autoSpaceDN w:val="0"/>
              <w:adjustRightInd w:val="0"/>
              <w:jc w:val="both"/>
              <w:rPr>
                <w:color w:val="000000"/>
                <w:sz w:val="18"/>
                <w:szCs w:val="18"/>
              </w:rPr>
            </w:pPr>
          </w:p>
        </w:tc>
      </w:tr>
    </w:tbl>
    <w:p w:rsidR="00000000" w:rsidRDefault="002262B3">
      <w:pPr>
        <w:widowControl w:val="0"/>
        <w:autoSpaceDE w:val="0"/>
        <w:autoSpaceDN w:val="0"/>
        <w:adjustRightInd w:val="0"/>
        <w:jc w:val="both"/>
        <w:rPr>
          <w:color w:val="000000"/>
        </w:rPr>
      </w:pPr>
    </w:p>
    <w:p w:rsidR="00000000" w:rsidRDefault="002262B3">
      <w:pPr>
        <w:widowControl w:val="0"/>
        <w:autoSpaceDE w:val="0"/>
        <w:autoSpaceDN w:val="0"/>
        <w:adjustRightInd w:val="0"/>
        <w:spacing w:before="200"/>
        <w:jc w:val="both"/>
        <w:rPr>
          <w:b/>
          <w:bCs/>
          <w:color w:val="212121"/>
        </w:rPr>
      </w:pPr>
      <w:bookmarkStart w:id="8" w:name="co_opinion_1"/>
      <w:bookmarkEnd w:id="8"/>
      <w:r>
        <w:rPr>
          <w:b/>
          <w:bCs/>
          <w:color w:val="212121"/>
        </w:rPr>
        <w:t>Opinion</w:t>
      </w:r>
    </w:p>
    <w:p w:rsidR="00000000" w:rsidRDefault="002262B3">
      <w:pPr>
        <w:widowControl w:val="0"/>
        <w:autoSpaceDE w:val="0"/>
        <w:autoSpaceDN w:val="0"/>
        <w:adjustRightInd w:val="0"/>
        <w:spacing w:before="200" w:after="200"/>
        <w:jc w:val="both"/>
        <w:rPr>
          <w:color w:val="000000"/>
        </w:rPr>
      </w:pPr>
      <w:hyperlink r:id="rId34" w:history="1">
        <w:r>
          <w:rPr>
            <w:color w:val="000000"/>
          </w:rPr>
          <w:t>CHIN</w:t>
        </w:r>
      </w:hyperlink>
      <w:r>
        <w:rPr>
          <w:color w:val="000000"/>
        </w:rPr>
        <w:t>, Circuit Judge:</w:t>
      </w:r>
    </w:p>
    <w:p w:rsidR="00000000" w:rsidRDefault="002262B3">
      <w:pPr>
        <w:widowControl w:val="0"/>
        <w:autoSpaceDE w:val="0"/>
        <w:autoSpaceDN w:val="0"/>
        <w:adjustRightInd w:val="0"/>
        <w:jc w:val="both"/>
        <w:rPr>
          <w:color w:val="000000"/>
        </w:rPr>
      </w:pPr>
      <w:bookmarkStart w:id="9" w:name="co_anchor_Ic488eb3e453811e498db8b09b4f04"/>
      <w:bookmarkEnd w:id="9"/>
    </w:p>
    <w:p w:rsidR="00000000" w:rsidRDefault="002262B3">
      <w:pPr>
        <w:widowControl w:val="0"/>
        <w:autoSpaceDE w:val="0"/>
        <w:autoSpaceDN w:val="0"/>
        <w:adjustRightInd w:val="0"/>
        <w:jc w:val="both"/>
        <w:rPr>
          <w:color w:val="000000"/>
        </w:rPr>
      </w:pPr>
      <w:r>
        <w:rPr>
          <w:color w:val="000000"/>
        </w:rPr>
        <w:t>In the aftermath of the attacks on the World Trade Center on September 11, 2001, thousands of individuals</w:t>
      </w:r>
      <w:r>
        <w:rPr>
          <w:color w:val="000000"/>
        </w:rPr>
        <w:t>—</w:t>
      </w:r>
      <w:r>
        <w:rPr>
          <w:color w:val="000000"/>
        </w:rPr>
        <w:t>firefighters, police officers, construction and cleaning workers, and others</w:t>
      </w:r>
      <w:r>
        <w:rPr>
          <w:color w:val="000000"/>
        </w:rPr>
        <w:t>—</w:t>
      </w:r>
      <w:r>
        <w:rPr>
          <w:color w:val="000000"/>
        </w:rPr>
        <w:t>participated in rescue, recovery, and clean-up operation</w:t>
      </w:r>
      <w:r>
        <w:rPr>
          <w:color w:val="000000"/>
        </w:rPr>
        <w:t xml:space="preserve">s at the World Trade Center site and surrounding areas. Many sustained injuries, and eventually more than 10,000 lawsuits were filed against the City of New York, private contractors, and the WTC Captive Insurance Company, Inc. (the </w:t>
      </w:r>
      <w:r>
        <w:rPr>
          <w:color w:val="000000"/>
        </w:rPr>
        <w:t>“</w:t>
      </w:r>
      <w:r>
        <w:rPr>
          <w:color w:val="000000"/>
        </w:rPr>
        <w:t>WTC Captive</w:t>
      </w:r>
      <w:r>
        <w:rPr>
          <w:color w:val="000000"/>
        </w:rPr>
        <w:t>”</w:t>
      </w:r>
      <w:r>
        <w:rPr>
          <w:color w:val="000000"/>
        </w:rPr>
        <w:t>). The cas</w:t>
      </w:r>
      <w:r>
        <w:rPr>
          <w:color w:val="000000"/>
        </w:rPr>
        <w:t>es were consolidated before a single judge, the Honorable Alvin K. Hellerstein, in the United States District Court for the Southern District of New York.</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After years of litigation and extensive negotiations, the parties agreed on a comprehensive settlem</w:t>
      </w:r>
      <w:r>
        <w:rPr>
          <w:color w:val="000000"/>
        </w:rPr>
        <w:t>ent process, which was set forth in a detailed master settlement agreement executed in June 2010. The settlement process gave each plaintiff the opportunity to participate in the settlement, and the parties agreed that the settlement would become effective</w:t>
      </w:r>
      <w:r>
        <w:rPr>
          <w:color w:val="000000"/>
        </w:rPr>
        <w:t xml:space="preserve"> only if at least 95% of the plaintiffs </w:t>
      </w:r>
      <w:r>
        <w:rPr>
          <w:color w:val="000000"/>
        </w:rPr>
        <w:t>“</w:t>
      </w:r>
      <w:r>
        <w:rPr>
          <w:color w:val="000000"/>
        </w:rPr>
        <w:t>eligible</w:t>
      </w:r>
      <w:r>
        <w:rPr>
          <w:color w:val="000000"/>
        </w:rPr>
        <w:t>”</w:t>
      </w:r>
      <w:r>
        <w:rPr>
          <w:color w:val="000000"/>
        </w:rPr>
        <w:t xml:space="preserve"> to participate agreed to do so. Questions were raised</w:t>
      </w:r>
      <w:r>
        <w:rPr>
          <w:color w:val="000000"/>
        </w:rPr>
        <w:t>—</w:t>
      </w:r>
      <w:r>
        <w:rPr>
          <w:color w:val="000000"/>
        </w:rPr>
        <w:t xml:space="preserve">some by the district court </w:t>
      </w:r>
      <w:r>
        <w:rPr>
          <w:i/>
          <w:iCs/>
          <w:color w:val="000000"/>
        </w:rPr>
        <w:t>sua sponte</w:t>
      </w:r>
      <w:r>
        <w:rPr>
          <w:color w:val="000000"/>
        </w:rPr>
        <w:t>—</w:t>
      </w:r>
      <w:r>
        <w:rPr>
          <w:color w:val="000000"/>
        </w:rPr>
        <w:t xml:space="preserve">with respect to the implementation of the settlement process. The district court issued three orders addressing </w:t>
      </w:r>
      <w:bookmarkStart w:id="10" w:name="co_pp_sp_506_118_1"/>
      <w:bookmarkEnd w:id="10"/>
      <w:r>
        <w:rPr>
          <w:b/>
          <w:bCs/>
          <w:color w:val="000000"/>
        </w:rPr>
        <w:t>*118</w:t>
      </w:r>
      <w:r>
        <w:rPr>
          <w:color w:val="000000"/>
        </w:rPr>
        <w:t xml:space="preserve"> these questions; they are the subject of these consolidated appeals.</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For the reasons set forth below, we affirm in part, reverse in part, and vacate and remand in part.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11" w:name="co_anchor_Ic488eb3f453811e498db8b09b4f04"/>
      <w:bookmarkEnd w:id="11"/>
    </w:p>
    <w:p w:rsidR="00000000" w:rsidRDefault="002262B3">
      <w:pPr>
        <w:widowControl w:val="0"/>
        <w:autoSpaceDE w:val="0"/>
        <w:autoSpaceDN w:val="0"/>
        <w:adjustRightInd w:val="0"/>
        <w:spacing w:before="400" w:after="200"/>
        <w:jc w:val="center"/>
        <w:rPr>
          <w:b/>
          <w:bCs/>
          <w:i/>
          <w:iCs/>
          <w:color w:val="000000"/>
        </w:rPr>
      </w:pPr>
      <w:r>
        <w:rPr>
          <w:b/>
          <w:bCs/>
          <w:i/>
          <w:iCs/>
          <w:color w:val="000000"/>
        </w:rPr>
        <w:t>BACKGROUND</w:t>
      </w:r>
    </w:p>
    <w:p w:rsidR="00000000" w:rsidRDefault="002262B3">
      <w:pPr>
        <w:widowControl w:val="0"/>
        <w:autoSpaceDE w:val="0"/>
        <w:autoSpaceDN w:val="0"/>
        <w:adjustRightInd w:val="0"/>
        <w:jc w:val="both"/>
        <w:rPr>
          <w:color w:val="000000"/>
        </w:rPr>
      </w:pPr>
      <w:r>
        <w:rPr>
          <w:color w:val="000000"/>
        </w:rPr>
        <w:t>The district court issued the three orders in question during its supervision of the</w:t>
      </w:r>
      <w:r>
        <w:rPr>
          <w:color w:val="000000"/>
        </w:rPr>
        <w:t xml:space="preserve"> settlement process in this complex litigation. The district court employed a number of case-management techniques to improve efficiency and to encourage settlement, including consolidating the cases for pretrial purposes, organizing the cases into three m</w:t>
      </w:r>
      <w:r>
        <w:rPr>
          <w:color w:val="000000"/>
        </w:rPr>
        <w:t xml:space="preserve">aster dockets, appointing </w:t>
      </w:r>
      <w:r>
        <w:rPr>
          <w:color w:val="000000"/>
        </w:rPr>
        <w:t>“</w:t>
      </w:r>
      <w:r>
        <w:rPr>
          <w:color w:val="000000"/>
        </w:rPr>
        <w:t>Plaintiffs’ Liaison Counsel,</w:t>
      </w:r>
      <w:r>
        <w:rPr>
          <w:color w:val="000000"/>
        </w:rPr>
        <w:t>”</w:t>
      </w:r>
      <w:r>
        <w:rPr>
          <w:color w:val="000000"/>
        </w:rPr>
        <w:t xml:space="preserve"> appointing special masters, and permitting counsel to use a </w:t>
      </w:r>
      <w:r>
        <w:rPr>
          <w:color w:val="000000"/>
        </w:rPr>
        <w:t>“</w:t>
      </w:r>
      <w:r>
        <w:rPr>
          <w:color w:val="000000"/>
        </w:rPr>
        <w:t>Master Complaint</w:t>
      </w:r>
      <w:r>
        <w:rPr>
          <w:color w:val="000000"/>
        </w:rPr>
        <w:t>”</w:t>
      </w:r>
      <w:r>
        <w:rPr>
          <w:color w:val="000000"/>
        </w:rPr>
        <w:t xml:space="preserve"> and a </w:t>
      </w:r>
      <w:r>
        <w:rPr>
          <w:color w:val="000000"/>
        </w:rPr>
        <w:t>“</w:t>
      </w:r>
      <w:r>
        <w:rPr>
          <w:color w:val="000000"/>
        </w:rPr>
        <w:t>Core Discovery</w:t>
      </w:r>
      <w:r>
        <w:rPr>
          <w:color w:val="000000"/>
        </w:rPr>
        <w:t>”</w:t>
      </w:r>
      <w:r>
        <w:rPr>
          <w:color w:val="000000"/>
        </w:rPr>
        <w:t xml:space="preserve"> program. The district court also called for the parties, with assistance from the special masters</w:t>
      </w:r>
      <w:r>
        <w:rPr>
          <w:color w:val="000000"/>
        </w:rPr>
        <w:t>, to identify the cases alleging the most serious injuries for early trial; the first of these trials was scheduled to commence in May 2010.</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In March 2010, two months before the first trials were to begin, the City and plaintiffs’ counsel advised the dis</w:t>
      </w:r>
      <w:r>
        <w:rPr>
          <w:color w:val="000000"/>
        </w:rPr>
        <w:t>trict court that they had reached a settlement. The City’s insurer</w:t>
      </w:r>
      <w:r>
        <w:rPr>
          <w:color w:val="000000"/>
        </w:rPr>
        <w:t>—</w:t>
      </w:r>
      <w:r>
        <w:rPr>
          <w:color w:val="000000"/>
        </w:rPr>
        <w:t>the WTC Captive Insurance Company (</w:t>
      </w:r>
      <w:r>
        <w:rPr>
          <w:color w:val="000000"/>
        </w:rPr>
        <w:t>“</w:t>
      </w:r>
      <w:r>
        <w:rPr>
          <w:color w:val="000000"/>
        </w:rPr>
        <w:t>WTC Captive</w:t>
      </w:r>
      <w:r>
        <w:rPr>
          <w:color w:val="000000"/>
        </w:rPr>
        <w:t>”</w:t>
      </w:r>
      <w:r>
        <w:rPr>
          <w:color w:val="000000"/>
        </w:rPr>
        <w:t>)</w:t>
      </w:r>
      <w:bookmarkStart w:id="12" w:name="co_footnoteReference_B00212033547687_ID0"/>
      <w:bookmarkEnd w:id="12"/>
      <w:r>
        <w:rPr>
          <w:color w:val="000000"/>
          <w:sz w:val="16"/>
          <w:szCs w:val="16"/>
        </w:rPr>
        <w:fldChar w:fldCharType="begin"/>
      </w:r>
      <w:r>
        <w:rPr>
          <w:color w:val="000000"/>
          <w:sz w:val="16"/>
          <w:szCs w:val="16"/>
        </w:rPr>
        <w:instrText>HYPERLINK</w:instrText>
      </w:r>
      <w:r>
        <w:rPr>
          <w:color w:val="000000"/>
          <w:sz w:val="16"/>
          <w:szCs w:val="16"/>
        </w:rPr>
        <w:instrText xml:space="preserve"> "#co_footnote_B00212033547687_1" </w:instrText>
      </w:r>
      <w:r>
        <w:rPr>
          <w:color w:val="000000"/>
          <w:sz w:val="16"/>
          <w:szCs w:val="16"/>
        </w:rPr>
      </w:r>
      <w:r>
        <w:rPr>
          <w:color w:val="000000"/>
          <w:sz w:val="16"/>
          <w:szCs w:val="16"/>
        </w:rPr>
        <w:fldChar w:fldCharType="separate"/>
      </w:r>
      <w:r>
        <w:rPr>
          <w:color w:val="000000"/>
          <w:sz w:val="16"/>
          <w:szCs w:val="16"/>
          <w:vertAlign w:val="superscript"/>
        </w:rPr>
        <w:t>1</w:t>
      </w:r>
      <w:r>
        <w:rPr>
          <w:color w:val="000000"/>
          <w:sz w:val="16"/>
          <w:szCs w:val="16"/>
        </w:rPr>
        <w:fldChar w:fldCharType="end"/>
      </w:r>
      <w:r>
        <w:rPr>
          <w:color w:val="000000"/>
        </w:rPr>
        <w:t>—</w:t>
      </w:r>
      <w:r>
        <w:rPr>
          <w:color w:val="000000"/>
        </w:rPr>
        <w:t>par</w:t>
      </w:r>
      <w:r>
        <w:rPr>
          <w:color w:val="000000"/>
        </w:rPr>
        <w:t>ticipated in the settlement negotiations. The agreement provided for the WTC Captive to pay at least $575 million to settle claims against the City, provided that at least 95% of the plaintiffs eligible to participate accepted the settlement. The agreement</w:t>
      </w:r>
      <w:r>
        <w:rPr>
          <w:color w:val="000000"/>
        </w:rPr>
        <w:t xml:space="preserve"> provided that the WTC Captive would pay additional amounts if (1) more than 95% of eligible plaintiffs participated and (2) relatively few new lawsuits were filed. The proposed settlement also provided for plaintiffs’ counsel to receive a one-third contin</w:t>
      </w:r>
      <w:r>
        <w:rPr>
          <w:color w:val="000000"/>
        </w:rPr>
        <w:t xml:space="preserve">gency fee. The parties also agreed to a process whereby an independent arbiter, the </w:t>
      </w:r>
      <w:r>
        <w:rPr>
          <w:color w:val="000000"/>
        </w:rPr>
        <w:t>“</w:t>
      </w:r>
      <w:r>
        <w:rPr>
          <w:color w:val="000000"/>
        </w:rPr>
        <w:t>Allocation Neutral,</w:t>
      </w:r>
      <w:r>
        <w:rPr>
          <w:color w:val="000000"/>
        </w:rPr>
        <w:t>”</w:t>
      </w:r>
      <w:r>
        <w:rPr>
          <w:color w:val="000000"/>
        </w:rPr>
        <w:t xml:space="preserve"> would divide the eligible plaintiffs into four tiers for purposes of awarding payments according to the severity of the injury.</w:t>
      </w:r>
    </w:p>
    <w:p w:rsidR="00000000" w:rsidRDefault="002262B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3" w:name="co_footnote_B00212033547687_1"/>
          <w:bookmarkEnd w:id="13"/>
          <w:p w:rsidR="00000000" w:rsidRDefault="002262B3">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"#co_footnoteReference_B00212033547687_ID0" </w:instrText>
            </w:r>
            <w:r>
              <w:rPr>
                <w:color w:val="000000"/>
              </w:rPr>
            </w:r>
            <w:r>
              <w:rPr>
                <w:color w:val="000000"/>
              </w:rPr>
              <w:fldChar w:fldCharType="separate"/>
            </w:r>
            <w:r>
              <w:rPr>
                <w:color w:val="000000"/>
                <w:vertAlign w:val="superscript"/>
              </w:rPr>
              <w:t>1</w:t>
            </w:r>
            <w:r>
              <w:rPr>
                <w:color w:val="000000"/>
              </w:rPr>
              <w:fldChar w:fldCharType="end"/>
            </w:r>
          </w:p>
          <w:p w:rsidR="00000000" w:rsidRDefault="002262B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62B3">
            <w:pPr>
              <w:widowControl w:val="0"/>
              <w:autoSpaceDE w:val="0"/>
              <w:autoSpaceDN w:val="0"/>
              <w:adjustRightInd w:val="0"/>
              <w:jc w:val="both"/>
              <w:rPr>
                <w:color w:val="000000"/>
                <w:sz w:val="18"/>
                <w:szCs w:val="18"/>
              </w:rPr>
            </w:pPr>
            <w:r>
              <w:rPr>
                <w:color w:val="000000"/>
                <w:sz w:val="18"/>
                <w:szCs w:val="18"/>
              </w:rPr>
              <w:t xml:space="preserve">The WTC Captive was created in 2003 and funded with $1 billion through the Federal Emergency Management Agency to insure the City against </w:t>
            </w:r>
            <w:r>
              <w:rPr>
                <w:color w:val="000000"/>
                <w:sz w:val="18"/>
                <w:szCs w:val="18"/>
              </w:rPr>
              <w:t>“</w:t>
            </w:r>
            <w:r>
              <w:rPr>
                <w:color w:val="000000"/>
                <w:sz w:val="18"/>
                <w:szCs w:val="18"/>
              </w:rPr>
              <w:t>claims ari</w:t>
            </w:r>
            <w:r>
              <w:rPr>
                <w:color w:val="000000"/>
                <w:sz w:val="18"/>
                <w:szCs w:val="18"/>
              </w:rPr>
              <w:t>sing from debris removal, which may include claims by city employees.</w:t>
            </w:r>
            <w:r>
              <w:rPr>
                <w:color w:val="000000"/>
                <w:sz w:val="18"/>
                <w:szCs w:val="18"/>
              </w:rPr>
              <w:t>”</w:t>
            </w:r>
            <w:r>
              <w:rPr>
                <w:color w:val="000000"/>
                <w:sz w:val="18"/>
                <w:szCs w:val="18"/>
              </w:rPr>
              <w:t xml:space="preserve"> Consolidated Appropriations Resolution 2003, </w:t>
            </w:r>
            <w:hyperlink r:id="rId35" w:history="1">
              <w:r>
                <w:rPr>
                  <w:color w:val="000000"/>
                  <w:sz w:val="18"/>
                  <w:szCs w:val="18"/>
                </w:rPr>
                <w:t>Pub.L. No. 108–7, 117 Stat. 11,</w:t>
              </w:r>
            </w:hyperlink>
            <w:r>
              <w:rPr>
                <w:color w:val="000000"/>
                <w:sz w:val="18"/>
                <w:szCs w:val="18"/>
              </w:rPr>
              <w:t xml:space="preserve"> 517</w:t>
            </w:r>
            <w:r>
              <w:rPr>
                <w:color w:val="000000"/>
                <w:sz w:val="18"/>
                <w:szCs w:val="18"/>
              </w:rPr>
              <w:t>–</w:t>
            </w:r>
            <w:r>
              <w:rPr>
                <w:color w:val="000000"/>
                <w:sz w:val="18"/>
                <w:szCs w:val="18"/>
              </w:rPr>
              <w:t>18 (2003).</w:t>
            </w:r>
          </w:p>
          <w:p w:rsidR="00000000" w:rsidRDefault="002262B3">
            <w:pPr>
              <w:widowControl w:val="0"/>
              <w:autoSpaceDE w:val="0"/>
              <w:autoSpaceDN w:val="0"/>
              <w:adjustRightInd w:val="0"/>
              <w:jc w:val="both"/>
              <w:rPr>
                <w:color w:val="000000"/>
                <w:sz w:val="18"/>
                <w:szCs w:val="18"/>
              </w:rPr>
            </w:pPr>
          </w:p>
        </w:tc>
      </w:tr>
    </w:tbl>
    <w:p w:rsidR="00000000" w:rsidRDefault="002262B3">
      <w:pPr>
        <w:widowControl w:val="0"/>
        <w:autoSpaceDE w:val="0"/>
        <w:autoSpaceDN w:val="0"/>
        <w:adjustRightInd w:val="0"/>
        <w:jc w:val="both"/>
        <w:rPr>
          <w:color w:val="000000"/>
        </w:rPr>
      </w:pPr>
    </w:p>
    <w:p w:rsidR="00000000" w:rsidRDefault="002262B3">
      <w:pPr>
        <w:widowControl w:val="0"/>
        <w:autoSpaceDE w:val="0"/>
        <w:autoSpaceDN w:val="0"/>
        <w:adjustRightInd w:val="0"/>
        <w:jc w:val="both"/>
        <w:rPr>
          <w:color w:val="000000"/>
        </w:rPr>
      </w:pPr>
      <w:r>
        <w:rPr>
          <w:color w:val="000000"/>
        </w:rPr>
        <w:t>Although the parties did not see</w:t>
      </w:r>
      <w:r>
        <w:rPr>
          <w:color w:val="000000"/>
        </w:rPr>
        <w:t xml:space="preserve">k its approval, the district court found the settlement to be inadequate. The district court concluded, </w:t>
      </w:r>
      <w:r>
        <w:rPr>
          <w:i/>
          <w:iCs/>
          <w:color w:val="000000"/>
        </w:rPr>
        <w:t>inter alia,</w:t>
      </w:r>
      <w:r>
        <w:rPr>
          <w:color w:val="000000"/>
        </w:rPr>
        <w:t xml:space="preserve"> that the proposed settlement provided insufficient consideration for the settlement of nearly all the claims while providing overly generous</w:t>
      </w:r>
      <w:r>
        <w:rPr>
          <w:color w:val="000000"/>
        </w:rPr>
        <w:t xml:space="preserve"> compensation for plaintiffs’ counsel. The district court was also concerned about the lack of any meaningful review of decisions of the Allocation Neutral.</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The parties renegotiated and returned in June 2010 with an amended Settlement Process Agreement (</w:t>
      </w:r>
      <w:r>
        <w:rPr>
          <w:color w:val="000000"/>
        </w:rPr>
        <w:t xml:space="preserve">the </w:t>
      </w:r>
      <w:r>
        <w:rPr>
          <w:color w:val="000000"/>
        </w:rPr>
        <w:t>“</w:t>
      </w:r>
      <w:r>
        <w:rPr>
          <w:color w:val="000000"/>
        </w:rPr>
        <w:t>Agreement</w:t>
      </w:r>
      <w:r>
        <w:rPr>
          <w:color w:val="000000"/>
        </w:rPr>
        <w:t>”</w:t>
      </w:r>
      <w:r>
        <w:rPr>
          <w:color w:val="000000"/>
        </w:rPr>
        <w:t>), which responded to a number of the district court’s concerns. Among other changes, the principal settlement amount was increased from a range of $575 to $632.5 million to a range of $625 to $712.5 million. Plaintiffs’ counsel agreed to re</w:t>
      </w:r>
      <w:r>
        <w:rPr>
          <w:color w:val="000000"/>
        </w:rPr>
        <w:t xml:space="preserve">duce their contingency fees from one-third to one-quarter. The parties also created the position of </w:t>
      </w:r>
      <w:r>
        <w:rPr>
          <w:color w:val="000000"/>
        </w:rPr>
        <w:t>“</w:t>
      </w:r>
      <w:r>
        <w:rPr>
          <w:color w:val="000000"/>
        </w:rPr>
        <w:t>Appeal Neutral</w:t>
      </w:r>
      <w:r>
        <w:rPr>
          <w:color w:val="000000"/>
        </w:rPr>
        <w:t>”</w:t>
      </w:r>
      <w:r>
        <w:rPr>
          <w:color w:val="000000"/>
        </w:rPr>
        <w:t xml:space="preserve"> to review determinations of the Allocation Neutral.</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Over the parties’ objection, the district court conducted a hearing to determine whet</w:t>
      </w:r>
      <w:r>
        <w:rPr>
          <w:color w:val="000000"/>
        </w:rPr>
        <w:t xml:space="preserve">her the amended settlement process, as set forth in the Agreement, was fair and reasonable. The district court also appointed an ethics expert to review plaintiffs’ counsel’s communications with their clients about the settlement. The district court noted </w:t>
      </w:r>
      <w:r>
        <w:rPr>
          <w:color w:val="000000"/>
        </w:rPr>
        <w:t xml:space="preserve">the possibility of conflicts of interest stemming from the fact that as </w:t>
      </w:r>
      <w:bookmarkStart w:id="14" w:name="co_pp_sp_506_119_1"/>
      <w:bookmarkEnd w:id="14"/>
      <w:r>
        <w:rPr>
          <w:b/>
          <w:bCs/>
          <w:color w:val="000000"/>
        </w:rPr>
        <w:t>*119</w:t>
      </w:r>
      <w:r>
        <w:rPr>
          <w:color w:val="000000"/>
        </w:rPr>
        <w:t xml:space="preserve"> participation in the settlement increased, so would plaintiffs’ counsel’s fee. After extensive inquiry into the Agreement, the district court f</w:t>
      </w:r>
      <w:r>
        <w:rPr>
          <w:color w:val="000000"/>
        </w:rPr>
        <w:t>ound it to be fair and reasonable.</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As implementation of the Agreement proceeded, a number of issues arose. Three aspects of the Agreement are now before us: (1) the </w:t>
      </w:r>
      <w:r>
        <w:rPr>
          <w:color w:val="000000"/>
        </w:rPr>
        <w:t>“</w:t>
      </w:r>
      <w:r>
        <w:rPr>
          <w:color w:val="000000"/>
        </w:rPr>
        <w:t>Bonus Payment,</w:t>
      </w:r>
      <w:r>
        <w:rPr>
          <w:color w:val="000000"/>
        </w:rPr>
        <w:t>”</w:t>
      </w:r>
      <w:r>
        <w:rPr>
          <w:color w:val="000000"/>
        </w:rPr>
        <w:t xml:space="preserve"> (2) the </w:t>
      </w:r>
      <w:r>
        <w:rPr>
          <w:color w:val="000000"/>
        </w:rPr>
        <w:t>“</w:t>
      </w:r>
      <w:r>
        <w:rPr>
          <w:color w:val="000000"/>
        </w:rPr>
        <w:t>Contingent Payments,</w:t>
      </w:r>
      <w:r>
        <w:rPr>
          <w:color w:val="000000"/>
        </w:rPr>
        <w:t>”</w:t>
      </w:r>
      <w:r>
        <w:rPr>
          <w:color w:val="000000"/>
        </w:rPr>
        <w:t xml:space="preserve"> and (3) attorneys’ fees.</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15" w:name="co_anchor_Ic488eb40453811e498db8b09b4f04"/>
      <w:bookmarkEnd w:id="15"/>
    </w:p>
    <w:p w:rsidR="00000000" w:rsidRDefault="002262B3">
      <w:pPr>
        <w:widowControl w:val="0"/>
        <w:autoSpaceDE w:val="0"/>
        <w:autoSpaceDN w:val="0"/>
        <w:adjustRightInd w:val="0"/>
        <w:spacing w:before="200"/>
        <w:rPr>
          <w:b/>
          <w:bCs/>
          <w:i/>
          <w:iCs/>
          <w:color w:val="000000"/>
        </w:rPr>
      </w:pPr>
      <w:r>
        <w:rPr>
          <w:b/>
          <w:bCs/>
          <w:color w:val="000000"/>
        </w:rPr>
        <w:t xml:space="preserve">A. </w:t>
      </w:r>
      <w:r>
        <w:rPr>
          <w:b/>
          <w:bCs/>
          <w:i/>
          <w:iCs/>
          <w:color w:val="000000"/>
        </w:rPr>
        <w:t>Bonus Payment</w:t>
      </w:r>
    </w:p>
    <w:p w:rsidR="00000000" w:rsidRDefault="002262B3">
      <w:pPr>
        <w:widowControl w:val="0"/>
        <w:autoSpaceDE w:val="0"/>
        <w:autoSpaceDN w:val="0"/>
        <w:adjustRightInd w:val="0"/>
        <w:jc w:val="both"/>
        <w:rPr>
          <w:color w:val="000000"/>
        </w:rPr>
      </w:pPr>
      <w:r>
        <w:rPr>
          <w:color w:val="000000"/>
        </w:rPr>
        <w:t xml:space="preserve">The Agreement provided that it did not become effective unless 95% of eligible plaintiffs opted in to the settlement. If more than 95% opted in, however, the </w:t>
      </w:r>
      <w:r>
        <w:rPr>
          <w:color w:val="000000"/>
        </w:rPr>
        <w:t xml:space="preserve">WTC Captive would pay a </w:t>
      </w:r>
      <w:r>
        <w:rPr>
          <w:color w:val="000000"/>
        </w:rPr>
        <w:t>“</w:t>
      </w:r>
      <w:r>
        <w:rPr>
          <w:color w:val="000000"/>
        </w:rPr>
        <w:t>Bonus Payment,</w:t>
      </w:r>
      <w:r>
        <w:rPr>
          <w:color w:val="000000"/>
        </w:rPr>
        <w:t>”</w:t>
      </w:r>
      <w:r>
        <w:rPr>
          <w:color w:val="000000"/>
        </w:rPr>
        <w:t xml:space="preserve"> the amount of which would increase as the percentage of opt-ins increased.</w:t>
      </w:r>
      <w:bookmarkStart w:id="16" w:name="co_footnoteReference_B00322033547687_ID0"/>
      <w:bookmarkEnd w:id="16"/>
      <w:r>
        <w:rPr>
          <w:color w:val="000000"/>
          <w:sz w:val="16"/>
          <w:szCs w:val="16"/>
        </w:rPr>
        <w:fldChar w:fldCharType="begin"/>
      </w:r>
      <w:r>
        <w:rPr>
          <w:color w:val="000000"/>
          <w:sz w:val="16"/>
          <w:szCs w:val="16"/>
        </w:rPr>
        <w:instrText>HYPERLINK</w:instrText>
      </w:r>
      <w:r>
        <w:rPr>
          <w:color w:val="000000"/>
          <w:sz w:val="16"/>
          <w:szCs w:val="16"/>
        </w:rPr>
        <w:instrText xml:space="preserve"> "#co_footnote_B00322033547687_1" </w:instrText>
      </w:r>
      <w:r>
        <w:rPr>
          <w:color w:val="000000"/>
          <w:sz w:val="16"/>
          <w:szCs w:val="16"/>
        </w:rPr>
      </w:r>
      <w:r>
        <w:rPr>
          <w:color w:val="000000"/>
          <w:sz w:val="16"/>
          <w:szCs w:val="16"/>
        </w:rPr>
        <w:fldChar w:fldCharType="separate"/>
      </w:r>
      <w:r>
        <w:rPr>
          <w:color w:val="000000"/>
          <w:sz w:val="16"/>
          <w:szCs w:val="16"/>
          <w:vertAlign w:val="superscript"/>
        </w:rPr>
        <w:t>2</w:t>
      </w:r>
      <w:r>
        <w:rPr>
          <w:color w:val="000000"/>
          <w:sz w:val="16"/>
          <w:szCs w:val="16"/>
        </w:rPr>
        <w:fldChar w:fldCharType="end"/>
      </w:r>
      <w:r>
        <w:rPr>
          <w:color w:val="000000"/>
        </w:rPr>
        <w:t xml:space="preserve"> The </w:t>
      </w:r>
      <w:r>
        <w:rPr>
          <w:color w:val="000000"/>
        </w:rPr>
        <w:t>Agreement calculated the opt-in percentage as the number of eligible plaintiffs who affirmatively opted in to the settlement over the total number of plaintiffs eligible for recovery. Plaintiffs were required to track the eligible plaintiffs through the El</w:t>
      </w:r>
      <w:r>
        <w:rPr>
          <w:color w:val="000000"/>
        </w:rPr>
        <w:t>igible Plaintiffs List (</w:t>
      </w:r>
      <w:r>
        <w:rPr>
          <w:color w:val="000000"/>
        </w:rPr>
        <w:t>“</w:t>
      </w:r>
      <w:r>
        <w:rPr>
          <w:color w:val="000000"/>
        </w:rPr>
        <w:t>EPL</w:t>
      </w:r>
      <w:r>
        <w:rPr>
          <w:color w:val="000000"/>
        </w:rPr>
        <w:t>”</w:t>
      </w:r>
      <w:r>
        <w:rPr>
          <w:color w:val="000000"/>
        </w:rPr>
        <w:t>). Eligibility was defined as follows:</w:t>
      </w:r>
    </w:p>
    <w:p w:rsidR="00000000" w:rsidRDefault="002262B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7" w:name="co_footnote_B00322033547687_1"/>
          <w:bookmarkEnd w:id="17"/>
          <w:p w:rsidR="00000000" w:rsidRDefault="002262B3">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"#co_footnoteReference_B00322033547687_ID0" </w:instrText>
            </w:r>
            <w:r>
              <w:rPr>
                <w:color w:val="000000"/>
              </w:rPr>
            </w:r>
            <w:r>
              <w:rPr>
                <w:color w:val="000000"/>
              </w:rPr>
              <w:fldChar w:fldCharType="separate"/>
            </w:r>
            <w:r>
              <w:rPr>
                <w:color w:val="000000"/>
                <w:vertAlign w:val="superscript"/>
              </w:rPr>
              <w:t>2</w:t>
            </w:r>
            <w:r>
              <w:rPr>
                <w:color w:val="000000"/>
              </w:rPr>
              <w:fldChar w:fldCharType="end"/>
            </w:r>
          </w:p>
          <w:p w:rsidR="00000000" w:rsidRDefault="002262B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62B3">
            <w:pPr>
              <w:widowControl w:val="0"/>
              <w:autoSpaceDE w:val="0"/>
              <w:autoSpaceDN w:val="0"/>
              <w:adjustRightInd w:val="0"/>
              <w:jc w:val="both"/>
              <w:rPr>
                <w:color w:val="000000"/>
                <w:sz w:val="18"/>
                <w:szCs w:val="18"/>
              </w:rPr>
            </w:pPr>
            <w:r>
              <w:rPr>
                <w:color w:val="000000"/>
                <w:sz w:val="18"/>
                <w:szCs w:val="18"/>
              </w:rPr>
              <w:t>The Agreement provided that the WTC Captive would pay 2% of</w:t>
            </w:r>
            <w:r>
              <w:rPr>
                <w:color w:val="000000"/>
                <w:sz w:val="18"/>
                <w:szCs w:val="18"/>
              </w:rPr>
              <w:t xml:space="preserve"> the </w:t>
            </w:r>
            <w:r>
              <w:rPr>
                <w:color w:val="000000"/>
                <w:sz w:val="18"/>
                <w:szCs w:val="18"/>
              </w:rPr>
              <w:t>“</w:t>
            </w:r>
            <w:r>
              <w:rPr>
                <w:color w:val="000000"/>
                <w:sz w:val="18"/>
                <w:szCs w:val="18"/>
              </w:rPr>
              <w:t>Settlement Amount</w:t>
            </w:r>
            <w:r>
              <w:rPr>
                <w:color w:val="000000"/>
                <w:sz w:val="18"/>
                <w:szCs w:val="18"/>
              </w:rPr>
              <w:t>”</w:t>
            </w:r>
            <w:r>
              <w:rPr>
                <w:color w:val="000000"/>
                <w:sz w:val="18"/>
                <w:szCs w:val="18"/>
              </w:rPr>
              <w:t xml:space="preserve"> for every 1% in excess of the 95% requirement, except that if the actual opt-in percentage exceeded 98%, the WTC Captive was obligated to pay 0.20% of the Settlement Amount for every 0.10% above the 95% threshold.</w:t>
            </w:r>
          </w:p>
          <w:p w:rsidR="00000000" w:rsidRDefault="002262B3">
            <w:pPr>
              <w:widowControl w:val="0"/>
              <w:autoSpaceDE w:val="0"/>
              <w:autoSpaceDN w:val="0"/>
              <w:adjustRightInd w:val="0"/>
              <w:jc w:val="both"/>
              <w:rPr>
                <w:color w:val="000000"/>
                <w:sz w:val="18"/>
                <w:szCs w:val="18"/>
              </w:rPr>
            </w:pPr>
          </w:p>
        </w:tc>
      </w:tr>
    </w:tbl>
    <w:p w:rsidR="00000000" w:rsidRDefault="002262B3">
      <w:pPr>
        <w:widowControl w:val="0"/>
        <w:autoSpaceDE w:val="0"/>
        <w:autoSpaceDN w:val="0"/>
        <w:adjustRightInd w:val="0"/>
        <w:jc w:val="both"/>
        <w:rPr>
          <w:color w:val="000000"/>
        </w:rPr>
      </w:pPr>
    </w:p>
    <w:p w:rsidR="00000000" w:rsidRDefault="002262B3">
      <w:pPr>
        <w:widowControl w:val="0"/>
        <w:autoSpaceDE w:val="0"/>
        <w:autoSpaceDN w:val="0"/>
        <w:adjustRightInd w:val="0"/>
        <w:spacing w:before="200"/>
        <w:ind w:left="200"/>
        <w:jc w:val="both"/>
        <w:rPr>
          <w:color w:val="000000"/>
        </w:rPr>
      </w:pPr>
      <w:r>
        <w:rPr>
          <w:color w:val="000000"/>
        </w:rPr>
        <w:t>Only Plaintiff</w:t>
      </w:r>
      <w:r>
        <w:rPr>
          <w:color w:val="000000"/>
        </w:rPr>
        <w:t>s with Debris Removal Claims filed ... on or before April 12, 2010 ... shall be eligible for inclusion on the Eligible Plaintiff List; provided, however, that such Plaintiffs who dismiss with prejudice ... by executing the Stipulation of Dismissal With</w:t>
      </w:r>
    </w:p>
    <w:p w:rsidR="00000000" w:rsidRDefault="002262B3">
      <w:pPr>
        <w:widowControl w:val="0"/>
        <w:autoSpaceDE w:val="0"/>
        <w:autoSpaceDN w:val="0"/>
        <w:adjustRightInd w:val="0"/>
        <w:spacing w:before="200"/>
        <w:ind w:left="400"/>
        <w:jc w:val="both"/>
        <w:rPr>
          <w:color w:val="000000"/>
        </w:rPr>
      </w:pPr>
      <w:r>
        <w:rPr>
          <w:color w:val="000000"/>
        </w:rPr>
        <w:t>Pre</w:t>
      </w:r>
      <w:r>
        <w:rPr>
          <w:color w:val="000000"/>
        </w:rPr>
        <w:t>judice attached as Exhibit S to this Agreement need not be included on the [EPL]....</w:t>
      </w:r>
    </w:p>
    <w:p w:rsidR="00000000" w:rsidRDefault="002262B3">
      <w:pPr>
        <w:widowControl w:val="0"/>
        <w:autoSpaceDE w:val="0"/>
        <w:autoSpaceDN w:val="0"/>
        <w:adjustRightInd w:val="0"/>
        <w:spacing w:before="200"/>
        <w:ind w:left="400"/>
        <w:jc w:val="both"/>
        <w:rPr>
          <w:color w:val="000000"/>
        </w:rPr>
      </w:pPr>
      <w:r>
        <w:rPr>
          <w:color w:val="000000"/>
        </w:rPr>
        <w:t>The Agreement further provided:</w:t>
      </w:r>
    </w:p>
    <w:p w:rsidR="00000000" w:rsidRDefault="002262B3">
      <w:pPr>
        <w:widowControl w:val="0"/>
        <w:autoSpaceDE w:val="0"/>
        <w:autoSpaceDN w:val="0"/>
        <w:adjustRightInd w:val="0"/>
        <w:spacing w:before="200"/>
        <w:ind w:left="400"/>
        <w:jc w:val="both"/>
        <w:rPr>
          <w:color w:val="000000"/>
        </w:rPr>
      </w:pPr>
      <w:r>
        <w:rPr>
          <w:color w:val="000000"/>
        </w:rPr>
        <w:t>Plaintiffs who dismiss all of their Debris Removal Claims against the Insureds with prejudice by filing the Stipulation of Dismissal with Prejudice attached as Exhibit S ... shall not be counted for purposes of determining compliance with the Opt</w:t>
      </w:r>
      <w:r>
        <w:rPr>
          <w:color w:val="000000"/>
        </w:rPr>
        <w:t>–</w:t>
      </w:r>
      <w:r>
        <w:rPr>
          <w:color w:val="000000"/>
        </w:rPr>
        <w:t>In Thresh</w:t>
      </w:r>
      <w:r>
        <w:rPr>
          <w:color w:val="000000"/>
        </w:rPr>
        <w:t>old....</w:t>
      </w:r>
    </w:p>
    <w:p w:rsidR="00000000" w:rsidRDefault="002262B3">
      <w:pPr>
        <w:widowControl w:val="0"/>
        <w:autoSpaceDE w:val="0"/>
        <w:autoSpaceDN w:val="0"/>
        <w:adjustRightInd w:val="0"/>
        <w:jc w:val="both"/>
        <w:rPr>
          <w:color w:val="000000"/>
        </w:rPr>
      </w:pPr>
      <w:r>
        <w:rPr>
          <w:color w:val="000000"/>
        </w:rPr>
        <w:t>The parties were eager to reach 95% participation, and they twice requested an extension of the opt-in deadline. The district court granted the requests. Shortly before the second extended deadline, the parties submitted stipulations of dismissal a</w:t>
      </w:r>
      <w:r>
        <w:rPr>
          <w:color w:val="000000"/>
        </w:rPr>
        <w:t xml:space="preserve">s to 185 plaintiffs. Troubled by the fact that so many stipulations surfaced on the eve of the opt-in deadline, the district court </w:t>
      </w:r>
      <w:r>
        <w:rPr>
          <w:i/>
          <w:iCs/>
          <w:color w:val="000000"/>
        </w:rPr>
        <w:t>sua sponte</w:t>
      </w:r>
      <w:r>
        <w:rPr>
          <w:color w:val="000000"/>
        </w:rPr>
        <w:t xml:space="preserve"> ordered a hearing to determine whether the dismissals were authorized by the clients. At the hearing, the district</w:t>
      </w:r>
      <w:r>
        <w:rPr>
          <w:color w:val="000000"/>
        </w:rPr>
        <w:t xml:space="preserve"> court learned that plaintiffs’ counsel were inferring authorization to dismiss from their clients’ failure to respond to their communications. In other words, the clients did not explicitly authorize counsel to dismiss their claims, but had simply not res</w:t>
      </w:r>
      <w:r>
        <w:rPr>
          <w:color w:val="000000"/>
        </w:rPr>
        <w:t>ponded to counsel’s inquiries.</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The district court refused to accept these dismissals, and </w:t>
      </w:r>
      <w:r>
        <w:rPr>
          <w:i/>
          <w:iCs/>
          <w:color w:val="000000"/>
        </w:rPr>
        <w:t>sua sponte</w:t>
      </w:r>
      <w:r>
        <w:rPr>
          <w:color w:val="000000"/>
        </w:rPr>
        <w:t xml:space="preserve"> appointed Special Counsel to try to speak to every plaintiff who rejected the Agreement or had failed to communicate a decision. After two months, Specia</w:t>
      </w:r>
      <w:r>
        <w:rPr>
          <w:color w:val="000000"/>
        </w:rPr>
        <w:t>l Counsel had made attempts to talk to 546 plaintiffs, but could not reach 409 of them. In an order dated December 30, 2010, the district court dismissed the claims of the 409 plaintiffs for failure to prosecute, giving them 30 days in which to seek relief</w:t>
      </w:r>
      <w:r>
        <w:rPr>
          <w:color w:val="000000"/>
        </w:rPr>
        <w:t xml:space="preserve">. The district court further ordered these plaintiffs excluded from the EPL, relying on the Agreement’s requirement that </w:t>
      </w:r>
      <w:r>
        <w:rPr>
          <w:color w:val="000000"/>
        </w:rPr>
        <w:t>“</w:t>
      </w:r>
      <w:r>
        <w:rPr>
          <w:color w:val="000000"/>
        </w:rPr>
        <w:t xml:space="preserve">Plaintiffs who dismiss with prejudice ... need not be included on </w:t>
      </w:r>
      <w:bookmarkStart w:id="18" w:name="co_pp_sp_506_120_1"/>
      <w:bookmarkEnd w:id="18"/>
      <w:r>
        <w:rPr>
          <w:b/>
          <w:bCs/>
          <w:color w:val="000000"/>
        </w:rPr>
        <w:t>*120</w:t>
      </w:r>
      <w:r>
        <w:rPr>
          <w:color w:val="000000"/>
        </w:rPr>
        <w:t xml:space="preserve"> the Eligible Plaintiff List</w:t>
      </w:r>
      <w:r>
        <w:rPr>
          <w:color w:val="000000"/>
        </w:rPr>
        <w:t>.</w:t>
      </w:r>
      <w:r>
        <w:rPr>
          <w:color w:val="000000"/>
        </w:rPr>
        <w:t>”</w:t>
      </w:r>
      <w:r>
        <w:rPr>
          <w:color w:val="000000"/>
        </w:rPr>
        <w:t xml:space="preserve"> Thereafter, 25 of the 409 plaintiffs were heard from and were reinstated.</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With the net of nearly 400 plaintiffs eliminated from the EPL, the opt-in rate of eligible plaintiffs rose to 99%; as consequence, the district court ordered defendants to make </w:t>
      </w:r>
      <w:r>
        <w:rPr>
          <w:color w:val="000000"/>
        </w:rPr>
        <w:t xml:space="preserve">a Bonus Payment of $55 million. Defendants objected, arguing that only plaintiffs whose claims were </w:t>
      </w:r>
      <w:r>
        <w:rPr>
          <w:i/>
          <w:iCs/>
          <w:color w:val="000000"/>
        </w:rPr>
        <w:t>voluntarily</w:t>
      </w:r>
      <w:r>
        <w:rPr>
          <w:color w:val="000000"/>
        </w:rPr>
        <w:t xml:space="preserve"> dismissed should be excluded from the EPL, and that the plaintiffs whose claims were involuntarily dismissed should be included. The district co</w:t>
      </w:r>
      <w:r>
        <w:rPr>
          <w:color w:val="000000"/>
        </w:rPr>
        <w:t>urt rejected this argument. The Agreement became effective on January 5, 2011, and on January 25, 2011, the claims of the settling plaintiffs were dismissed. The City contends that the correct opt-in percentage is 96% and that the correct Bonus Payment amo</w:t>
      </w:r>
      <w:r>
        <w:rPr>
          <w:color w:val="000000"/>
        </w:rPr>
        <w:t>unt is $12.5 million and not the $55 million ordered by the District Court.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19" w:name="co_anchor_Ic488eb41453811e498db8b09b4f04"/>
      <w:bookmarkEnd w:id="19"/>
    </w:p>
    <w:p w:rsidR="00000000" w:rsidRDefault="002262B3">
      <w:pPr>
        <w:widowControl w:val="0"/>
        <w:autoSpaceDE w:val="0"/>
        <w:autoSpaceDN w:val="0"/>
        <w:adjustRightInd w:val="0"/>
        <w:spacing w:before="200"/>
        <w:rPr>
          <w:b/>
          <w:bCs/>
          <w:i/>
          <w:iCs/>
          <w:color w:val="000000"/>
        </w:rPr>
      </w:pPr>
      <w:r>
        <w:rPr>
          <w:b/>
          <w:bCs/>
          <w:color w:val="000000"/>
        </w:rPr>
        <w:t xml:space="preserve">B. </w:t>
      </w:r>
      <w:r>
        <w:rPr>
          <w:b/>
          <w:bCs/>
          <w:i/>
          <w:iCs/>
          <w:color w:val="000000"/>
        </w:rPr>
        <w:t>Contingent Payments</w:t>
      </w:r>
    </w:p>
    <w:p w:rsidR="00000000" w:rsidRDefault="002262B3">
      <w:pPr>
        <w:widowControl w:val="0"/>
        <w:autoSpaceDE w:val="0"/>
        <w:autoSpaceDN w:val="0"/>
        <w:adjustRightInd w:val="0"/>
        <w:jc w:val="both"/>
        <w:rPr>
          <w:color w:val="000000"/>
        </w:rPr>
      </w:pPr>
      <w:r>
        <w:rPr>
          <w:color w:val="000000"/>
        </w:rPr>
        <w:t xml:space="preserve">The Agreement also set forth certain circumstances under which defendants </w:t>
      </w:r>
      <w:r>
        <w:rPr>
          <w:color w:val="000000"/>
        </w:rPr>
        <w:t xml:space="preserve">would be required to make </w:t>
      </w:r>
      <w:r>
        <w:rPr>
          <w:color w:val="000000"/>
        </w:rPr>
        <w:t>“</w:t>
      </w:r>
      <w:r>
        <w:rPr>
          <w:color w:val="000000"/>
        </w:rPr>
        <w:t>Contingent Payments.</w:t>
      </w:r>
      <w:r>
        <w:rPr>
          <w:color w:val="000000"/>
        </w:rPr>
        <w:t>”</w:t>
      </w:r>
      <w:r>
        <w:rPr>
          <w:color w:val="000000"/>
        </w:rPr>
        <w:t xml:space="preserve"> These are payments that must be made on the first five anniversaries of the effective date of the Agreement if fewer than certain designated numbers of </w:t>
      </w:r>
      <w:r>
        <w:rPr>
          <w:color w:val="000000"/>
        </w:rPr>
        <w:t>“</w:t>
      </w:r>
      <w:r>
        <w:rPr>
          <w:color w:val="000000"/>
        </w:rPr>
        <w:t>New Debris Removal Claims</w:t>
      </w:r>
      <w:r>
        <w:rPr>
          <w:color w:val="000000"/>
        </w:rPr>
        <w:t>”</w:t>
      </w:r>
      <w:r>
        <w:rPr>
          <w:color w:val="000000"/>
        </w:rPr>
        <w:t xml:space="preserve"> are </w:t>
      </w:r>
      <w:r>
        <w:rPr>
          <w:color w:val="000000"/>
        </w:rPr>
        <w:t>“</w:t>
      </w:r>
      <w:r>
        <w:rPr>
          <w:color w:val="000000"/>
        </w:rPr>
        <w:t>filed or submitted</w:t>
      </w:r>
      <w:r>
        <w:rPr>
          <w:color w:val="000000"/>
        </w:rPr>
        <w:t>”</w:t>
      </w:r>
      <w:r>
        <w:rPr>
          <w:color w:val="000000"/>
        </w:rPr>
        <w:t xml:space="preserve"> </w:t>
      </w:r>
      <w:r>
        <w:rPr>
          <w:color w:val="000000"/>
        </w:rPr>
        <w:t>“</w:t>
      </w:r>
      <w:r>
        <w:rPr>
          <w:color w:val="000000"/>
        </w:rPr>
        <w:t>a</w:t>
      </w:r>
      <w:r>
        <w:rPr>
          <w:color w:val="000000"/>
        </w:rPr>
        <w:t>s of</w:t>
      </w:r>
      <w:r>
        <w:rPr>
          <w:color w:val="000000"/>
        </w:rPr>
        <w:t>”</w:t>
      </w:r>
      <w:r>
        <w:rPr>
          <w:color w:val="000000"/>
        </w:rPr>
        <w:t xml:space="preserve"> the relevant Contingent Payment Determination Date. Specifically, it provided that if fewer than 220 such claims were </w:t>
      </w:r>
      <w:r>
        <w:rPr>
          <w:color w:val="000000"/>
        </w:rPr>
        <w:t>“</w:t>
      </w:r>
      <w:r>
        <w:rPr>
          <w:color w:val="000000"/>
        </w:rPr>
        <w:t>filed or submitted</w:t>
      </w:r>
      <w:r>
        <w:rPr>
          <w:color w:val="000000"/>
        </w:rPr>
        <w:t>”</w:t>
      </w:r>
      <w:r>
        <w:rPr>
          <w:color w:val="000000"/>
        </w:rPr>
        <w:t xml:space="preserve"> by the </w:t>
      </w:r>
      <w:r>
        <w:rPr>
          <w:color w:val="000000"/>
        </w:rPr>
        <w:t>“</w:t>
      </w:r>
      <w:r>
        <w:rPr>
          <w:color w:val="000000"/>
        </w:rPr>
        <w:t>First Contingent Payment Determination Date [January 5, 2012],</w:t>
      </w:r>
      <w:r>
        <w:rPr>
          <w:color w:val="000000"/>
        </w:rPr>
        <w:t>”</w:t>
      </w:r>
      <w:r>
        <w:rPr>
          <w:color w:val="000000"/>
        </w:rPr>
        <w:t xml:space="preserve"> the City would be obligated to make a C</w:t>
      </w:r>
      <w:r>
        <w:rPr>
          <w:color w:val="000000"/>
        </w:rPr>
        <w:t xml:space="preserve">ontingent Payment. The Agreement defined </w:t>
      </w:r>
      <w:r>
        <w:rPr>
          <w:color w:val="000000"/>
        </w:rPr>
        <w:t>“</w:t>
      </w:r>
      <w:r>
        <w:rPr>
          <w:color w:val="000000"/>
        </w:rPr>
        <w:t>New Debris Removal Claims</w:t>
      </w:r>
      <w:r>
        <w:rPr>
          <w:color w:val="000000"/>
        </w:rPr>
        <w:t>”</w:t>
      </w:r>
      <w:r>
        <w:rPr>
          <w:color w:val="000000"/>
        </w:rPr>
        <w:t xml:space="preserve"> as:</w:t>
      </w:r>
    </w:p>
    <w:p w:rsidR="00000000" w:rsidRDefault="002262B3">
      <w:pPr>
        <w:widowControl w:val="0"/>
        <w:autoSpaceDE w:val="0"/>
        <w:autoSpaceDN w:val="0"/>
        <w:adjustRightInd w:val="0"/>
        <w:spacing w:before="250" w:after="50"/>
        <w:ind w:left="1000" w:right="800"/>
        <w:jc w:val="both"/>
        <w:rPr>
          <w:color w:val="000000"/>
        </w:rPr>
      </w:pPr>
      <w:r>
        <w:rPr>
          <w:color w:val="000000"/>
        </w:rPr>
        <w:t>all Debris Removal Claims filed, or asserted for the first time against the Insureds or any of them in a complaint, an amended complaint, a summons with notice, or a notice of claim s</w:t>
      </w:r>
      <w:r>
        <w:rPr>
          <w:color w:val="000000"/>
        </w:rPr>
        <w:t>erved on or after April 13,2010....</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In January 2012, the parties advised the district court that 260 new claims had been </w:t>
      </w:r>
      <w:r>
        <w:rPr>
          <w:color w:val="000000"/>
        </w:rPr>
        <w:t>“</w:t>
      </w:r>
      <w:r>
        <w:rPr>
          <w:color w:val="000000"/>
        </w:rPr>
        <w:t>filed or submitted</w:t>
      </w:r>
      <w:r>
        <w:rPr>
          <w:color w:val="000000"/>
        </w:rPr>
        <w:t>”</w:t>
      </w:r>
      <w:r>
        <w:rPr>
          <w:color w:val="000000"/>
        </w:rPr>
        <w:t xml:space="preserve"> since the effective date of the Agreement. Most of the claims, however, had been dismissed before the determinat</w:t>
      </w:r>
      <w:r>
        <w:rPr>
          <w:color w:val="000000"/>
        </w:rPr>
        <w:t>ion date, leaving only 84 new claims pending.</w:t>
      </w:r>
      <w:bookmarkStart w:id="20" w:name="co_footnoteReference_B00432033547687_ID0"/>
      <w:bookmarkEnd w:id="20"/>
      <w:r>
        <w:rPr>
          <w:color w:val="000000"/>
          <w:sz w:val="16"/>
          <w:szCs w:val="16"/>
        </w:rPr>
        <w:fldChar w:fldCharType="begin"/>
      </w:r>
      <w:r>
        <w:rPr>
          <w:color w:val="000000"/>
          <w:sz w:val="16"/>
          <w:szCs w:val="16"/>
        </w:rPr>
        <w:instrText>HYPERLINK</w:instrText>
      </w:r>
      <w:r>
        <w:rPr>
          <w:color w:val="000000"/>
          <w:sz w:val="16"/>
          <w:szCs w:val="16"/>
        </w:rPr>
        <w:instrText xml:space="preserve"> "#co_footnote_B00432033547687_1" </w:instrText>
      </w:r>
      <w:r>
        <w:rPr>
          <w:color w:val="000000"/>
          <w:sz w:val="16"/>
          <w:szCs w:val="16"/>
        </w:rPr>
      </w:r>
      <w:r>
        <w:rPr>
          <w:color w:val="000000"/>
          <w:sz w:val="16"/>
          <w:szCs w:val="16"/>
        </w:rPr>
        <w:fldChar w:fldCharType="separate"/>
      </w:r>
      <w:r>
        <w:rPr>
          <w:color w:val="000000"/>
          <w:sz w:val="16"/>
          <w:szCs w:val="16"/>
          <w:vertAlign w:val="superscript"/>
        </w:rPr>
        <w:t>3</w:t>
      </w:r>
      <w:r>
        <w:rPr>
          <w:color w:val="000000"/>
          <w:sz w:val="16"/>
          <w:szCs w:val="16"/>
        </w:rPr>
        <w:fldChar w:fldCharType="end"/>
      </w:r>
      <w:r>
        <w:rPr>
          <w:color w:val="000000"/>
        </w:rPr>
        <w:t xml:space="preserve"> Accordingly, defendants took the position that defendants were not obligat</w:t>
      </w:r>
      <w:r>
        <w:rPr>
          <w:color w:val="000000"/>
        </w:rPr>
        <w:t xml:space="preserve">ed to make the First Contingent Payment. Plaintiffs did not object. The district court, however, issued an order </w:t>
      </w:r>
      <w:r>
        <w:rPr>
          <w:i/>
          <w:iCs/>
          <w:color w:val="000000"/>
        </w:rPr>
        <w:t>sua sponte</w:t>
      </w:r>
      <w:r>
        <w:rPr>
          <w:color w:val="000000"/>
        </w:rPr>
        <w:t xml:space="preserve"> requiring defendants to document the New Debris Re</w:t>
      </w:r>
      <w:r>
        <w:rPr>
          <w:color w:val="000000"/>
        </w:rPr>
        <w:t>moval Claims that had been filed and withdrawn between April 13, 2010 and January 5, 2012, and the litigation costs associated with those claims. Plaintiffs’ counsel then reversed position, arguing that the First Contingent Payment was due.</w:t>
      </w:r>
    </w:p>
    <w:p w:rsidR="00000000" w:rsidRDefault="002262B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1" w:name="co_footnote_B00432033547687_1"/>
          <w:bookmarkEnd w:id="21"/>
          <w:p w:rsidR="00000000" w:rsidRDefault="002262B3">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"#co_footnoteReference_B00432033547687_ID0" </w:instrText>
            </w:r>
            <w:r>
              <w:rPr>
                <w:color w:val="000000"/>
              </w:rPr>
            </w:r>
            <w:r>
              <w:rPr>
                <w:color w:val="000000"/>
              </w:rPr>
              <w:fldChar w:fldCharType="separate"/>
            </w:r>
            <w:r>
              <w:rPr>
                <w:color w:val="000000"/>
                <w:vertAlign w:val="superscript"/>
              </w:rPr>
              <w:t>3</w:t>
            </w:r>
            <w:r>
              <w:rPr>
                <w:color w:val="000000"/>
              </w:rPr>
              <w:fldChar w:fldCharType="end"/>
            </w:r>
          </w:p>
          <w:p w:rsidR="00000000" w:rsidRDefault="002262B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62B3">
            <w:pPr>
              <w:widowControl w:val="0"/>
              <w:autoSpaceDE w:val="0"/>
              <w:autoSpaceDN w:val="0"/>
              <w:adjustRightInd w:val="0"/>
              <w:jc w:val="both"/>
              <w:rPr>
                <w:color w:val="000000"/>
                <w:sz w:val="18"/>
                <w:szCs w:val="18"/>
              </w:rPr>
            </w:pPr>
            <w:r>
              <w:rPr>
                <w:color w:val="000000"/>
                <w:sz w:val="18"/>
                <w:szCs w:val="18"/>
              </w:rPr>
              <w:t>A New York law extended the statute of limitations to September 16, 2010, and nearly 300 new claims were filed just before the extended deadli</w:t>
            </w:r>
            <w:r>
              <w:rPr>
                <w:color w:val="000000"/>
                <w:sz w:val="18"/>
                <w:szCs w:val="18"/>
              </w:rPr>
              <w:t>ne. Then, in January 2011, Congress passed the James Zadroga 9/11 Health &amp; Compensation Act (</w:t>
            </w:r>
            <w:r>
              <w:rPr>
                <w:color w:val="000000"/>
                <w:sz w:val="18"/>
                <w:szCs w:val="18"/>
              </w:rPr>
              <w:t>“</w:t>
            </w:r>
            <w:r>
              <w:rPr>
                <w:color w:val="000000"/>
                <w:sz w:val="18"/>
                <w:szCs w:val="18"/>
              </w:rPr>
              <w:t>Zadroga Act</w:t>
            </w:r>
            <w:r>
              <w:rPr>
                <w:color w:val="000000"/>
                <w:sz w:val="18"/>
                <w:szCs w:val="18"/>
              </w:rPr>
              <w:t>”</w:t>
            </w:r>
            <w:r>
              <w:rPr>
                <w:color w:val="000000"/>
                <w:sz w:val="18"/>
                <w:szCs w:val="18"/>
              </w:rPr>
              <w:t>), which reopened the federal Victim Compensation Fund. It provided that claimants could not be compensated by the Victim Compensation Fund if they we</w:t>
            </w:r>
            <w:r>
              <w:rPr>
                <w:color w:val="000000"/>
                <w:sz w:val="18"/>
                <w:szCs w:val="18"/>
              </w:rPr>
              <w:t>re parties to court litigation. Claimants who wished to partake of the Victim Compensation Fund were therefore required to withdraw from any lawsuit by January 2, 2012. As a result, nearly all the claims that were filed around September 16, 2010 were withd</w:t>
            </w:r>
            <w:r>
              <w:rPr>
                <w:color w:val="000000"/>
                <w:sz w:val="18"/>
                <w:szCs w:val="18"/>
              </w:rPr>
              <w:t>rawn or dismissed by January 2, 2012.</w:t>
            </w:r>
          </w:p>
          <w:p w:rsidR="00000000" w:rsidRDefault="002262B3">
            <w:pPr>
              <w:widowControl w:val="0"/>
              <w:autoSpaceDE w:val="0"/>
              <w:autoSpaceDN w:val="0"/>
              <w:adjustRightInd w:val="0"/>
              <w:jc w:val="both"/>
              <w:rPr>
                <w:color w:val="000000"/>
                <w:sz w:val="18"/>
                <w:szCs w:val="18"/>
              </w:rPr>
            </w:pPr>
          </w:p>
        </w:tc>
      </w:tr>
    </w:tbl>
    <w:p w:rsidR="00000000" w:rsidRDefault="002262B3">
      <w:pPr>
        <w:widowControl w:val="0"/>
        <w:autoSpaceDE w:val="0"/>
        <w:autoSpaceDN w:val="0"/>
        <w:adjustRightInd w:val="0"/>
        <w:jc w:val="both"/>
        <w:rPr>
          <w:color w:val="000000"/>
        </w:rPr>
      </w:pPr>
    </w:p>
    <w:p w:rsidR="00000000" w:rsidRDefault="002262B3">
      <w:pPr>
        <w:widowControl w:val="0"/>
        <w:autoSpaceDE w:val="0"/>
        <w:autoSpaceDN w:val="0"/>
        <w:adjustRightInd w:val="0"/>
        <w:jc w:val="both"/>
        <w:rPr>
          <w:color w:val="000000"/>
        </w:rPr>
      </w:pPr>
      <w:r>
        <w:rPr>
          <w:color w:val="000000"/>
        </w:rPr>
        <w:t xml:space="preserve">In an opinion and order entered July 13, 2012, the district court ordered defendants to make the First Contingent Payment of $5 million. The district court reasoned that </w:t>
      </w:r>
      <w:r>
        <w:rPr>
          <w:color w:val="000000"/>
        </w:rPr>
        <w:t>“</w:t>
      </w:r>
      <w:r>
        <w:rPr>
          <w:color w:val="000000"/>
        </w:rPr>
        <w:t>the critical date for counting newly filed or submitted claims was January 5, 2012,</w:t>
      </w:r>
      <w:r>
        <w:rPr>
          <w:color w:val="000000"/>
        </w:rPr>
        <w:t>”</w:t>
      </w:r>
      <w:r>
        <w:rPr>
          <w:color w:val="000000"/>
        </w:rPr>
        <w:t xml:space="preserve"> and that </w:t>
      </w:r>
      <w:r>
        <w:rPr>
          <w:color w:val="000000"/>
        </w:rPr>
        <w:t>“</w:t>
      </w:r>
      <w:r>
        <w:rPr>
          <w:color w:val="000000"/>
        </w:rPr>
        <w:t>a claim that was withdrawn or dismissed on the merits prior to the critical date ... is not a claim to be counted.</w:t>
      </w:r>
      <w:r>
        <w:rPr>
          <w:color w:val="000000"/>
        </w:rPr>
        <w: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22" w:name="co_anchor_Ic488eb42453811e498db8b09b4f04"/>
      <w:bookmarkEnd w:id="22"/>
    </w:p>
    <w:p w:rsidR="00000000" w:rsidRDefault="002262B3">
      <w:pPr>
        <w:widowControl w:val="0"/>
        <w:autoSpaceDE w:val="0"/>
        <w:autoSpaceDN w:val="0"/>
        <w:adjustRightInd w:val="0"/>
        <w:spacing w:before="200"/>
        <w:rPr>
          <w:b/>
          <w:bCs/>
          <w:i/>
          <w:iCs/>
          <w:color w:val="000000"/>
        </w:rPr>
      </w:pPr>
      <w:bookmarkStart w:id="23" w:name="co_pp_sp_506_121_1"/>
      <w:bookmarkEnd w:id="23"/>
      <w:r>
        <w:rPr>
          <w:b/>
          <w:bCs/>
          <w:color w:val="000000"/>
        </w:rPr>
        <w:t>*121</w:t>
      </w:r>
      <w:r>
        <w:rPr>
          <w:color w:val="000000"/>
        </w:rPr>
        <w:t xml:space="preserve"> </w:t>
      </w:r>
      <w:r>
        <w:rPr>
          <w:b/>
          <w:bCs/>
          <w:color w:val="000000"/>
        </w:rPr>
        <w:t xml:space="preserve">C. </w:t>
      </w:r>
      <w:r>
        <w:rPr>
          <w:b/>
          <w:bCs/>
          <w:i/>
          <w:iCs/>
          <w:color w:val="000000"/>
        </w:rPr>
        <w:t>Attorneys’ Fees</w:t>
      </w:r>
    </w:p>
    <w:p w:rsidR="00000000" w:rsidRDefault="002262B3">
      <w:pPr>
        <w:widowControl w:val="0"/>
        <w:autoSpaceDE w:val="0"/>
        <w:autoSpaceDN w:val="0"/>
        <w:adjustRightInd w:val="0"/>
        <w:jc w:val="both"/>
        <w:rPr>
          <w:color w:val="000000"/>
        </w:rPr>
      </w:pPr>
      <w:r>
        <w:rPr>
          <w:color w:val="000000"/>
        </w:rPr>
        <w:t>The third issue presented by these appeals is whether plaintiffs’ counsel are entitled to a percentage of the Bonus Payment and Contingent Payments as attorne</w:t>
      </w:r>
      <w:r>
        <w:rPr>
          <w:color w:val="000000"/>
        </w:rPr>
        <w:t>ys’ fees. On this issue, the Agreement provides:</w:t>
      </w:r>
    </w:p>
    <w:p w:rsidR="00000000" w:rsidRDefault="002262B3">
      <w:pPr>
        <w:widowControl w:val="0"/>
        <w:autoSpaceDE w:val="0"/>
        <w:autoSpaceDN w:val="0"/>
        <w:adjustRightInd w:val="0"/>
        <w:spacing w:before="200"/>
        <w:ind w:left="200"/>
        <w:jc w:val="both"/>
        <w:rPr>
          <w:color w:val="000000"/>
        </w:rPr>
      </w:pPr>
      <w:r>
        <w:rPr>
          <w:color w:val="000000"/>
        </w:rPr>
        <w:t>The Settlement Amount, the Contingent Payment(s), if any, and any payment due pursuant to Section VI.E of this Agreement [the Bonus Payment] shall include all of Plaintiffs’ Liaison Counsel’s fees, costs and</w:t>
      </w:r>
      <w:r>
        <w:rPr>
          <w:color w:val="000000"/>
        </w:rPr>
        <w:t xml:space="preserve"> expenses and the fees, costs and expenses of all other counsel engaged by any Plaintiff or Plaintiffs....</w:t>
      </w:r>
    </w:p>
    <w:p w:rsidR="00000000" w:rsidRDefault="002262B3">
      <w:pPr>
        <w:widowControl w:val="0"/>
        <w:autoSpaceDE w:val="0"/>
        <w:autoSpaceDN w:val="0"/>
        <w:adjustRightInd w:val="0"/>
        <w:spacing w:before="200"/>
        <w:ind w:left="200"/>
        <w:jc w:val="both"/>
        <w:rPr>
          <w:color w:val="000000"/>
        </w:rPr>
      </w:pPr>
      <w:r>
        <w:rPr>
          <w:color w:val="000000"/>
        </w:rPr>
        <w:t>...</w:t>
      </w:r>
    </w:p>
    <w:p w:rsidR="00000000" w:rsidRDefault="002262B3">
      <w:pPr>
        <w:widowControl w:val="0"/>
        <w:autoSpaceDE w:val="0"/>
        <w:autoSpaceDN w:val="0"/>
        <w:adjustRightInd w:val="0"/>
        <w:spacing w:before="200"/>
        <w:ind w:left="200"/>
        <w:jc w:val="both"/>
        <w:rPr>
          <w:color w:val="000000"/>
        </w:rPr>
      </w:pPr>
      <w:r>
        <w:rPr>
          <w:color w:val="000000"/>
        </w:rPr>
        <w:t>... Plaintiffs’ attorneys voluntarily agree to reduce their fees to twenty-five percent (25%) of all payments to Plaintiffs or claimants whose De</w:t>
      </w:r>
      <w:r>
        <w:rPr>
          <w:color w:val="000000"/>
        </w:rPr>
        <w:t>bris Removal Claims against the Insureds or any of them are settled by this Agreement net of Plaintiffs’ counsel’s reimbursable expenses, including without limitation any and all Contingent Payments ... and any and all payments which become due pursuant to</w:t>
      </w:r>
      <w:r>
        <w:rPr>
          <w:color w:val="000000"/>
        </w:rPr>
        <w:t xml:space="preserve"> Section VI.E of the Agreement [the Bonus Payment].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On September 8, 2011, the district court ruled </w:t>
      </w:r>
      <w:r>
        <w:rPr>
          <w:i/>
          <w:iCs/>
          <w:color w:val="000000"/>
        </w:rPr>
        <w:t>sua sponte</w:t>
      </w:r>
      <w:r>
        <w:rPr>
          <w:color w:val="000000"/>
        </w:rPr>
        <w:t xml:space="preserve"> that plaintiffs’ counsel were not entitled to any portion of the Bonus Payment. The district court reasoned that the 25% fee from the base settl</w:t>
      </w:r>
      <w:r>
        <w:rPr>
          <w:color w:val="000000"/>
        </w:rPr>
        <w:t xml:space="preserve">ement amount was sufficient to compensate plaintiffs’ counsel. On July 13, 2012, citing similar concerns, the district court held </w:t>
      </w:r>
      <w:r>
        <w:rPr>
          <w:i/>
          <w:iCs/>
          <w:color w:val="000000"/>
        </w:rPr>
        <w:t>sua sponte</w:t>
      </w:r>
      <w:r>
        <w:rPr>
          <w:color w:val="000000"/>
        </w:rPr>
        <w:t xml:space="preserve"> that plaintiffs’ counsel were not entitled to any portion of the Contingent Payments. The district court suggested </w:t>
      </w:r>
      <w:r>
        <w:rPr>
          <w:color w:val="000000"/>
        </w:rPr>
        <w:t>that allowing plaintiffs’ counsel to receive a portion of the Contingent Payments was unethical because it incentivized them to avoid taking on new clients.</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sz w:val="16"/>
          <w:szCs w:val="16"/>
        </w:rPr>
      </w:pPr>
      <w:r>
        <w:rPr>
          <w:color w:val="000000"/>
        </w:rPr>
        <w:t>Defendants appeal the district court’s orders of December 30, 2012 and September 8, 2011, as they</w:t>
      </w:r>
      <w:r>
        <w:rPr>
          <w:color w:val="000000"/>
        </w:rPr>
        <w:t xml:space="preserve"> relate to the Bonus and Contingent Payments. Plaintiffs’ counsel appeal the portions of the September 8, 2011 and July 13, 2012 orders denying recovery of attorneys’ fees from the Bonus and Contingent Payments.</w:t>
      </w:r>
      <w:bookmarkStart w:id="24" w:name="co_footnoteReference_B00542033547687_ID0"/>
      <w:bookmarkEnd w:id="24"/>
      <w:r>
        <w:rPr>
          <w:color w:val="000000"/>
          <w:sz w:val="16"/>
          <w:szCs w:val="16"/>
        </w:rPr>
        <w:fldChar w:fldCharType="begin"/>
      </w:r>
      <w:r>
        <w:rPr>
          <w:color w:val="000000"/>
          <w:sz w:val="16"/>
          <w:szCs w:val="16"/>
        </w:rPr>
        <w:instrText>HYPERLINK</w:instrText>
      </w:r>
      <w:r>
        <w:rPr>
          <w:color w:val="000000"/>
          <w:sz w:val="16"/>
          <w:szCs w:val="16"/>
        </w:rPr>
        <w:instrText xml:space="preserve"> "#co_footnote_B00542033547687_1" </w:instrText>
      </w:r>
      <w:r>
        <w:rPr>
          <w:color w:val="000000"/>
          <w:sz w:val="16"/>
          <w:szCs w:val="16"/>
        </w:rPr>
      </w:r>
      <w:r>
        <w:rPr>
          <w:color w:val="000000"/>
          <w:sz w:val="16"/>
          <w:szCs w:val="16"/>
        </w:rPr>
        <w:fldChar w:fldCharType="separate"/>
      </w:r>
      <w:r>
        <w:rPr>
          <w:color w:val="000000"/>
          <w:sz w:val="16"/>
          <w:szCs w:val="16"/>
          <w:vertAlign w:val="superscript"/>
        </w:rPr>
        <w:t>4</w:t>
      </w:r>
      <w:r>
        <w:rPr>
          <w:color w:val="000000"/>
          <w:sz w:val="16"/>
          <w:szCs w:val="16"/>
        </w:rPr>
        <w:fldChar w:fldCharType="end"/>
      </w:r>
    </w:p>
    <w:p w:rsidR="00000000" w:rsidRDefault="002262B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5" w:name="co_footnote_B00542033547687_1"/>
          <w:bookmarkEnd w:id="25"/>
          <w:p w:rsidR="00000000" w:rsidRDefault="002262B3">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"#co_footnoteReference_B00542033547687_ID0" </w:instrText>
            </w:r>
            <w:r>
              <w:rPr>
                <w:color w:val="000000"/>
              </w:rPr>
            </w:r>
            <w:r>
              <w:rPr>
                <w:color w:val="000000"/>
              </w:rPr>
              <w:fldChar w:fldCharType="separate"/>
            </w:r>
            <w:r>
              <w:rPr>
                <w:color w:val="000000"/>
                <w:vertAlign w:val="superscript"/>
              </w:rPr>
              <w:t>4</w:t>
            </w:r>
            <w:r>
              <w:rPr>
                <w:color w:val="000000"/>
              </w:rPr>
              <w:fldChar w:fldCharType="end"/>
            </w:r>
          </w:p>
          <w:p w:rsidR="00000000" w:rsidRDefault="002262B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62B3">
            <w:pPr>
              <w:widowControl w:val="0"/>
              <w:autoSpaceDE w:val="0"/>
              <w:autoSpaceDN w:val="0"/>
              <w:adjustRightInd w:val="0"/>
              <w:jc w:val="both"/>
              <w:rPr>
                <w:color w:val="000000"/>
                <w:sz w:val="18"/>
                <w:szCs w:val="18"/>
              </w:rPr>
            </w:pPr>
            <w:r>
              <w:rPr>
                <w:color w:val="000000"/>
                <w:sz w:val="18"/>
                <w:szCs w:val="18"/>
              </w:rPr>
              <w:t xml:space="preserve">This Court appointed Evan Chesler as amicus curiae </w:t>
            </w:r>
            <w:r>
              <w:rPr>
                <w:color w:val="000000"/>
                <w:sz w:val="18"/>
                <w:szCs w:val="18"/>
              </w:rPr>
              <w:t>“</w:t>
            </w:r>
            <w:r>
              <w:rPr>
                <w:color w:val="000000"/>
                <w:sz w:val="18"/>
                <w:szCs w:val="18"/>
              </w:rPr>
              <w:t xml:space="preserve">to argue in support of the district court’s decisions with respect to attorneys’ fees related to the </w:t>
            </w:r>
            <w:r>
              <w:rPr>
                <w:color w:val="000000"/>
                <w:sz w:val="18"/>
                <w:szCs w:val="18"/>
              </w:rPr>
              <w:t>‘</w:t>
            </w:r>
            <w:r>
              <w:rPr>
                <w:color w:val="000000"/>
                <w:sz w:val="18"/>
                <w:szCs w:val="18"/>
              </w:rPr>
              <w:t xml:space="preserve">bonus payments’ and </w:t>
            </w:r>
            <w:r>
              <w:rPr>
                <w:color w:val="000000"/>
                <w:sz w:val="18"/>
                <w:szCs w:val="18"/>
              </w:rPr>
              <w:t>‘</w:t>
            </w:r>
            <w:r>
              <w:rPr>
                <w:color w:val="000000"/>
                <w:sz w:val="18"/>
                <w:szCs w:val="18"/>
              </w:rPr>
              <w:t>contingent payments.</w:t>
            </w:r>
            <w:r>
              <w:rPr>
                <w:color w:val="000000"/>
                <w:sz w:val="18"/>
                <w:szCs w:val="18"/>
              </w:rPr>
              <w:t>”</w:t>
            </w:r>
            <w:r>
              <w:rPr>
                <w:color w:val="000000"/>
                <w:sz w:val="18"/>
                <w:szCs w:val="18"/>
              </w:rPr>
              <w:t xml:space="preserve"> (Order dated March 13, 2013).</w:t>
            </w:r>
          </w:p>
          <w:p w:rsidR="00000000" w:rsidRDefault="002262B3">
            <w:pPr>
              <w:widowControl w:val="0"/>
              <w:autoSpaceDE w:val="0"/>
              <w:autoSpaceDN w:val="0"/>
              <w:adjustRightInd w:val="0"/>
              <w:jc w:val="both"/>
              <w:rPr>
                <w:color w:val="000000"/>
                <w:sz w:val="18"/>
                <w:szCs w:val="18"/>
              </w:rPr>
            </w:pPr>
          </w:p>
        </w:tc>
      </w:tr>
    </w:tbl>
    <w:p w:rsidR="00000000" w:rsidRDefault="002262B3">
      <w:pPr>
        <w:widowControl w:val="0"/>
        <w:autoSpaceDE w:val="0"/>
        <w:autoSpaceDN w:val="0"/>
        <w:adjustRightInd w:val="0"/>
        <w:jc w:val="both"/>
        <w:rPr>
          <w:color w:val="000000"/>
        </w:rPr>
      </w:pPr>
    </w:p>
    <w:p w:rsidR="00000000" w:rsidRDefault="002262B3">
      <w:pPr>
        <w:widowControl w:val="0"/>
        <w:autoSpaceDE w:val="0"/>
        <w:autoSpaceDN w:val="0"/>
        <w:adjustRightInd w:val="0"/>
        <w:jc w:val="both"/>
        <w:rPr>
          <w:color w:val="000000"/>
        </w:rPr>
      </w:pPr>
      <w:bookmarkStart w:id="26" w:name="co_anchor_Ic488eb43453811e498db8b09b4f04"/>
      <w:bookmarkEnd w:id="26"/>
    </w:p>
    <w:p w:rsidR="00000000" w:rsidRDefault="002262B3">
      <w:pPr>
        <w:widowControl w:val="0"/>
        <w:autoSpaceDE w:val="0"/>
        <w:autoSpaceDN w:val="0"/>
        <w:adjustRightInd w:val="0"/>
        <w:spacing w:before="400" w:after="200"/>
        <w:jc w:val="center"/>
        <w:rPr>
          <w:b/>
          <w:bCs/>
          <w:i/>
          <w:iCs/>
          <w:color w:val="000000"/>
        </w:rPr>
      </w:pPr>
      <w:r>
        <w:rPr>
          <w:b/>
          <w:bCs/>
          <w:i/>
          <w:iCs/>
          <w:color w:val="000000"/>
        </w:rPr>
        <w:t>DISCUSSION</w:t>
      </w:r>
    </w:p>
    <w:p w:rsidR="00000000" w:rsidRDefault="002262B3">
      <w:pPr>
        <w:widowControl w:val="0"/>
        <w:autoSpaceDE w:val="0"/>
        <w:autoSpaceDN w:val="0"/>
        <w:adjustRightInd w:val="0"/>
        <w:jc w:val="both"/>
        <w:rPr>
          <w:color w:val="000000"/>
        </w:rPr>
      </w:pPr>
      <w:hyperlink r:id="rId36" w:history="1">
        <w:r>
          <w:rPr>
            <w:b/>
            <w:bCs/>
            <w:color w:val="000000"/>
            <w:vertAlign w:val="superscript"/>
          </w:rPr>
          <w:t>[1]</w:t>
        </w:r>
      </w:hyperlink>
      <w:bookmarkStart w:id="27" w:name="co_anchor_B12033547687_1"/>
      <w:bookmarkEnd w:id="27"/>
      <w:r>
        <w:rPr>
          <w:color w:val="000000"/>
        </w:rPr>
        <w:t xml:space="preserve"> </w:t>
      </w:r>
      <w:hyperlink r:id="rId37" w:history="1">
        <w:r>
          <w:rPr>
            <w:b/>
            <w:bCs/>
            <w:color w:val="000000"/>
            <w:vertAlign w:val="superscript"/>
          </w:rPr>
          <w:t>[2]</w:t>
        </w:r>
      </w:hyperlink>
      <w:bookmarkStart w:id="28" w:name="co_anchor_B22033547687_1"/>
      <w:bookmarkEnd w:id="28"/>
      <w:r>
        <w:rPr>
          <w:color w:val="000000"/>
        </w:rPr>
        <w:t xml:space="preserve"> A settlement agreement is a contract that must be construed in accordance with general principles of contract law. </w:t>
      </w:r>
      <w:hyperlink r:id="rId38" w:history="1">
        <w:r>
          <w:rPr>
            <w:i/>
            <w:iCs/>
            <w:color w:val="000000"/>
          </w:rPr>
          <w:t>Collins v. Harrison–Bode,</w:t>
        </w:r>
        <w:r>
          <w:rPr>
            <w:color w:val="000000"/>
          </w:rPr>
          <w:t xml:space="preserve"> 303 F.3d 429, 433 (2d Cir.2002)</w:t>
        </w:r>
      </w:hyperlink>
      <w:r>
        <w:rPr>
          <w:color w:val="000000"/>
        </w:rPr>
        <w:t>. He</w:t>
      </w:r>
      <w:r>
        <w:rPr>
          <w:color w:val="000000"/>
        </w:rPr>
        <w:t xml:space="preserve">nce, on appeal, we review the district court’s legal conclusions interpreting a settlement agreement </w:t>
      </w:r>
      <w:r>
        <w:rPr>
          <w:i/>
          <w:iCs/>
          <w:color w:val="000000"/>
        </w:rPr>
        <w:t xml:space="preserve">de novo. </w:t>
      </w:r>
      <w:hyperlink r:id="rId39" w:history="1">
        <w:r>
          <w:rPr>
            <w:i/>
            <w:iCs/>
            <w:color w:val="000000"/>
          </w:rPr>
          <w:t>Cent. States SE &amp; SW Areas Health &amp; Welfare Fund v. Merck–Medco Managed Care, L.L.C.,</w:t>
        </w:r>
        <w:r>
          <w:rPr>
            <w:color w:val="000000"/>
          </w:rPr>
          <w:t xml:space="preserve"> 504 F.</w:t>
        </w:r>
        <w:r>
          <w:rPr>
            <w:color w:val="000000"/>
          </w:rPr>
          <w:t>3d 229, 247 (2d Cir.2007)</w:t>
        </w:r>
      </w:hyperlink>
      <w:r>
        <w:rPr>
          <w:color w:val="000000"/>
        </w:rPr>
        <w: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We consider the three areas of dispute: (a) the Bonus Payment, (b) the Contingent Payments, and (c) attorneys’ fees.</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29" w:name="co_anchor_Ic488eb44453811e498db8b09b4f04"/>
      <w:bookmarkEnd w:id="29"/>
    </w:p>
    <w:p w:rsidR="00000000" w:rsidRDefault="002262B3">
      <w:pPr>
        <w:widowControl w:val="0"/>
        <w:autoSpaceDE w:val="0"/>
        <w:autoSpaceDN w:val="0"/>
        <w:adjustRightInd w:val="0"/>
        <w:spacing w:before="200"/>
        <w:rPr>
          <w:b/>
          <w:bCs/>
          <w:i/>
          <w:iCs/>
          <w:color w:val="000000"/>
        </w:rPr>
      </w:pPr>
      <w:r>
        <w:rPr>
          <w:b/>
          <w:bCs/>
          <w:color w:val="000000"/>
        </w:rPr>
        <w:t xml:space="preserve">A. </w:t>
      </w:r>
      <w:r>
        <w:rPr>
          <w:b/>
          <w:bCs/>
          <w:i/>
          <w:iCs/>
          <w:color w:val="000000"/>
        </w:rPr>
        <w:t>Bonus Paymen</w:t>
      </w:r>
      <w:r>
        <w:rPr>
          <w:b/>
          <w:bCs/>
          <w:i/>
          <w:iCs/>
          <w:color w:val="000000"/>
        </w:rPr>
        <w:t>t</w:t>
      </w:r>
    </w:p>
    <w:p w:rsidR="00000000" w:rsidRDefault="002262B3">
      <w:pPr>
        <w:widowControl w:val="0"/>
        <w:autoSpaceDE w:val="0"/>
        <w:autoSpaceDN w:val="0"/>
        <w:adjustRightInd w:val="0"/>
        <w:jc w:val="both"/>
        <w:rPr>
          <w:color w:val="000000"/>
        </w:rPr>
      </w:pPr>
      <w:r>
        <w:rPr>
          <w:color w:val="000000"/>
        </w:rPr>
        <w:t>The district court dismissed the claims of nearly 400 non-responsive plaintiffs for failure to prosecute. These plaintiffs did not sign the stipulation of dismissal that was attached to the Agreement as Exhibit S. Nonetheless, the district court determin</w:t>
      </w:r>
      <w:r>
        <w:rPr>
          <w:color w:val="000000"/>
        </w:rPr>
        <w:t>ed that they should be removed from the EPL. This decreased the denominator for the calculation of opt-ins and increased the opt-in percentage to above 99%, thereby triggering the Bonus Payment. Defendants argue that under the plain terms of the Agreement,</w:t>
      </w:r>
      <w:r>
        <w:rPr>
          <w:color w:val="000000"/>
        </w:rPr>
        <w:t xml:space="preserve"> these plaintiffs should not have been excluded from the EPL. They </w:t>
      </w:r>
      <w:bookmarkStart w:id="30" w:name="co_pp_sp_506_122_1"/>
      <w:bookmarkEnd w:id="30"/>
      <w:r>
        <w:rPr>
          <w:b/>
          <w:bCs/>
          <w:color w:val="000000"/>
        </w:rPr>
        <w:t>*122</w:t>
      </w:r>
      <w:r>
        <w:rPr>
          <w:color w:val="000000"/>
        </w:rPr>
        <w:t xml:space="preserve"> contend that only eligible plaintiffs who </w:t>
      </w:r>
      <w:r>
        <w:rPr>
          <w:i/>
          <w:iCs/>
          <w:color w:val="000000"/>
        </w:rPr>
        <w:t>voluntarily</w:t>
      </w:r>
      <w:r>
        <w:rPr>
          <w:color w:val="000000"/>
        </w:rPr>
        <w:t xml:space="preserve"> dismissed their actions with prejudice should have been excluded, while the claims of these pl</w:t>
      </w:r>
      <w:r>
        <w:rPr>
          <w:color w:val="000000"/>
        </w:rPr>
        <w:t xml:space="preserve">aintiffs were </w:t>
      </w:r>
      <w:r>
        <w:rPr>
          <w:i/>
          <w:iCs/>
          <w:color w:val="000000"/>
        </w:rPr>
        <w:t>involuntarily</w:t>
      </w:r>
      <w:r>
        <w:rPr>
          <w:color w:val="000000"/>
        </w:rPr>
        <w:t xml:space="preserve"> dismissed. Defendants argue, then, that the district court rewrote the agreement, substituting its own judgment for that of the parties.</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31" w:name="co_anchor_Ic488eb45453811e498db8b09b4f04"/>
      <w:bookmarkEnd w:id="31"/>
    </w:p>
    <w:p w:rsidR="00000000" w:rsidRDefault="002262B3">
      <w:pPr>
        <w:widowControl w:val="0"/>
        <w:autoSpaceDE w:val="0"/>
        <w:autoSpaceDN w:val="0"/>
        <w:adjustRightInd w:val="0"/>
        <w:spacing w:before="200"/>
        <w:ind w:left="200"/>
        <w:rPr>
          <w:b/>
          <w:bCs/>
          <w:i/>
          <w:iCs/>
          <w:color w:val="000000"/>
        </w:rPr>
      </w:pPr>
      <w:r>
        <w:rPr>
          <w:b/>
          <w:bCs/>
          <w:color w:val="000000"/>
        </w:rPr>
        <w:t xml:space="preserve">i. </w:t>
      </w:r>
      <w:r>
        <w:rPr>
          <w:b/>
          <w:bCs/>
          <w:i/>
          <w:iCs/>
          <w:color w:val="000000"/>
        </w:rPr>
        <w:t>Applicable Law</w:t>
      </w:r>
    </w:p>
    <w:p w:rsidR="00000000" w:rsidRDefault="002262B3">
      <w:pPr>
        <w:widowControl w:val="0"/>
        <w:autoSpaceDE w:val="0"/>
        <w:autoSpaceDN w:val="0"/>
        <w:adjustRightInd w:val="0"/>
        <w:jc w:val="both"/>
        <w:rPr>
          <w:color w:val="000000"/>
        </w:rPr>
      </w:pPr>
      <w:hyperlink r:id="rId40" w:history="1">
        <w:r>
          <w:rPr>
            <w:b/>
            <w:bCs/>
            <w:color w:val="000000"/>
            <w:vertAlign w:val="superscript"/>
          </w:rPr>
          <w:t>[3]</w:t>
        </w:r>
      </w:hyperlink>
      <w:bookmarkStart w:id="32" w:name="co_anchor_B32033547687_1"/>
      <w:bookmarkEnd w:id="32"/>
      <w:r>
        <w:rPr>
          <w:color w:val="000000"/>
        </w:rPr>
        <w:t xml:space="preserve"> </w:t>
      </w:r>
      <w:hyperlink r:id="rId41" w:history="1">
        <w:r>
          <w:rPr>
            <w:b/>
            <w:bCs/>
            <w:color w:val="000000"/>
            <w:vertAlign w:val="superscript"/>
          </w:rPr>
          <w:t>[4]</w:t>
        </w:r>
      </w:hyperlink>
      <w:bookmarkStart w:id="33" w:name="co_anchor_B42033547687_1"/>
      <w:bookmarkEnd w:id="33"/>
      <w:r>
        <w:rPr>
          <w:color w:val="000000"/>
        </w:rPr>
        <w:t xml:space="preserve"> </w:t>
      </w:r>
      <w:hyperlink r:id="rId42" w:history="1">
        <w:r>
          <w:rPr>
            <w:b/>
            <w:bCs/>
            <w:color w:val="000000"/>
            <w:vertAlign w:val="superscript"/>
          </w:rPr>
          <w:t>[5]</w:t>
        </w:r>
      </w:hyperlink>
      <w:bookmarkStart w:id="34" w:name="co_anchor_B52033547687_1"/>
      <w:bookmarkEnd w:id="34"/>
      <w:r>
        <w:rPr>
          <w:color w:val="000000"/>
        </w:rPr>
        <w:t xml:space="preserve"> </w:t>
      </w:r>
      <w:hyperlink r:id="rId43" w:history="1">
        <w:r>
          <w:rPr>
            <w:b/>
            <w:bCs/>
            <w:color w:val="000000"/>
            <w:vertAlign w:val="superscript"/>
          </w:rPr>
          <w:t>[6]</w:t>
        </w:r>
      </w:hyperlink>
      <w:bookmarkStart w:id="35" w:name="co_anchor_B62033547687_1"/>
      <w:bookmarkEnd w:id="35"/>
      <w:r>
        <w:rPr>
          <w:color w:val="000000"/>
        </w:rPr>
        <w:t xml:space="preserve"> A fundamental precept of contract law is that agreem</w:t>
      </w:r>
      <w:r>
        <w:rPr>
          <w:color w:val="000000"/>
        </w:rPr>
        <w:t xml:space="preserve">ents are to be construed in accordance with the parties’ intent. </w:t>
      </w:r>
      <w:hyperlink r:id="rId44" w:history="1">
        <w:r>
          <w:rPr>
            <w:i/>
            <w:iCs/>
            <w:color w:val="000000"/>
          </w:rPr>
          <w:t>Greenfield v. Philles Records, Inc.,</w:t>
        </w:r>
        <w:r>
          <w:rPr>
            <w:color w:val="000000"/>
          </w:rPr>
          <w:t xml:space="preserve"> 98 N.Y.2d 562, 569, 750 N.Y.S.2d 565, 780 N.E.2d 166 (2002)</w:t>
        </w:r>
      </w:hyperlink>
      <w:r>
        <w:rPr>
          <w:color w:val="000000"/>
        </w:rPr>
        <w:t>.</w:t>
      </w:r>
      <w:bookmarkStart w:id="36" w:name="co_footnoteReference_B00652033547687_ID0"/>
      <w:bookmarkEnd w:id="36"/>
      <w:r>
        <w:rPr>
          <w:color w:val="000000"/>
          <w:sz w:val="16"/>
          <w:szCs w:val="16"/>
        </w:rPr>
        <w:fldChar w:fldCharType="begin"/>
      </w:r>
      <w:r>
        <w:rPr>
          <w:color w:val="000000"/>
          <w:sz w:val="16"/>
          <w:szCs w:val="16"/>
        </w:rPr>
        <w:instrText>HYPERLINK</w:instrText>
      </w:r>
      <w:r>
        <w:rPr>
          <w:color w:val="000000"/>
          <w:sz w:val="16"/>
          <w:szCs w:val="16"/>
        </w:rPr>
        <w:instrText xml:space="preserve"> "#co_footnote_B00652033547687_1" </w:instrText>
      </w:r>
      <w:r>
        <w:rPr>
          <w:color w:val="000000"/>
          <w:sz w:val="16"/>
          <w:szCs w:val="16"/>
        </w:rPr>
      </w:r>
      <w:r>
        <w:rPr>
          <w:color w:val="000000"/>
          <w:sz w:val="16"/>
          <w:szCs w:val="16"/>
        </w:rPr>
        <w:fldChar w:fldCharType="separate"/>
      </w:r>
      <w:r>
        <w:rPr>
          <w:color w:val="000000"/>
          <w:sz w:val="16"/>
          <w:szCs w:val="16"/>
          <w:vertAlign w:val="superscript"/>
        </w:rPr>
        <w:t>5</w:t>
      </w:r>
      <w:r>
        <w:rPr>
          <w:color w:val="000000"/>
          <w:sz w:val="16"/>
          <w:szCs w:val="16"/>
        </w:rPr>
        <w:fldChar w:fldCharType="end"/>
      </w:r>
      <w:r>
        <w:rPr>
          <w:color w:val="000000"/>
        </w:rPr>
        <w:t xml:space="preserve"> The best evidence of what the parties intended </w:t>
      </w:r>
      <w:r>
        <w:rPr>
          <w:color w:val="000000"/>
        </w:rPr>
        <w:t>“</w:t>
      </w:r>
      <w:r>
        <w:rPr>
          <w:color w:val="000000"/>
        </w:rPr>
        <w:t>is what they say in their writing.</w:t>
      </w:r>
      <w:r>
        <w:rPr>
          <w:color w:val="000000"/>
        </w:rPr>
        <w:t>”</w:t>
      </w:r>
      <w:r>
        <w:rPr>
          <w:color w:val="000000"/>
        </w:rPr>
        <w:t xml:space="preserve"> </w:t>
      </w:r>
      <w:r>
        <w:rPr>
          <w:i/>
          <w:iCs/>
          <w:color w:val="000000"/>
        </w:rPr>
        <w:t>Id.</w:t>
      </w:r>
      <w:r>
        <w:rPr>
          <w:color w:val="000000"/>
        </w:rPr>
        <w:t xml:space="preserve"> (quoting </w:t>
      </w:r>
      <w:hyperlink r:id="rId45" w:history="1">
        <w:r>
          <w:rPr>
            <w:i/>
            <w:iCs/>
            <w:color w:val="000000"/>
          </w:rPr>
          <w:t>Slamow v. Del Col,</w:t>
        </w:r>
        <w:r>
          <w:rPr>
            <w:color w:val="000000"/>
          </w:rPr>
          <w:t xml:space="preserve"> 79 N.Y.2d 1016, 1018, 584 N.Y.S.2d 424, 594 N.E.2d </w:t>
        </w:r>
        <w:r>
          <w:rPr>
            <w:color w:val="000000"/>
          </w:rPr>
          <w:t>918 (1992)</w:t>
        </w:r>
      </w:hyperlink>
      <w:r>
        <w:rPr>
          <w:color w:val="000000"/>
        </w:rPr>
        <w:t xml:space="preserve">); </w:t>
      </w:r>
      <w:r>
        <w:rPr>
          <w:i/>
          <w:iCs/>
          <w:color w:val="000000"/>
        </w:rPr>
        <w:t xml:space="preserve">see also </w:t>
      </w:r>
      <w:hyperlink r:id="rId46" w:history="1">
        <w:r>
          <w:rPr>
            <w:i/>
            <w:iCs/>
            <w:color w:val="000000"/>
          </w:rPr>
          <w:t>Cont’l Ins. Co. v. Atl. Cas. Ins. Co.,</w:t>
        </w:r>
        <w:r>
          <w:rPr>
            <w:color w:val="000000"/>
          </w:rPr>
          <w:t xml:space="preserve"> 603 F.3d 169, 180 (2d Cir.2010)</w:t>
        </w:r>
      </w:hyperlink>
      <w:r>
        <w:rPr>
          <w:color w:val="000000"/>
        </w:rPr>
        <w:t xml:space="preserve"> ( </w:t>
      </w:r>
      <w:r>
        <w:rPr>
          <w:color w:val="000000"/>
        </w:rPr>
        <w:t>“</w:t>
      </w:r>
      <w:r>
        <w:rPr>
          <w:color w:val="000000"/>
        </w:rPr>
        <w:t xml:space="preserve">When interpreting a contract, the </w:t>
      </w:r>
      <w:r>
        <w:rPr>
          <w:color w:val="000000"/>
        </w:rPr>
        <w:t>‘</w:t>
      </w:r>
      <w:r>
        <w:rPr>
          <w:color w:val="000000"/>
        </w:rPr>
        <w:t>intention of the parties should control, and th</w:t>
      </w:r>
      <w:r>
        <w:rPr>
          <w:color w:val="000000"/>
        </w:rPr>
        <w:t>e best evidence of intent is the contract itself.</w:t>
      </w:r>
      <w:r>
        <w:rPr>
          <w:color w:val="000000"/>
        </w:rPr>
        <w:t>’</w:t>
      </w:r>
      <w:r>
        <w:rPr>
          <w:color w:val="000000"/>
        </w:rPr>
        <w:t xml:space="preserve"> </w:t>
      </w:r>
      <w:r>
        <w:rPr>
          <w:color w:val="000000"/>
        </w:rPr>
        <w:t>”</w:t>
      </w:r>
      <w:r>
        <w:rPr>
          <w:color w:val="000000"/>
        </w:rPr>
        <w:t xml:space="preserve">) (citation omitted). Accordingly, </w:t>
      </w:r>
      <w:r>
        <w:rPr>
          <w:color w:val="000000"/>
        </w:rPr>
        <w:t>“</w:t>
      </w:r>
      <w:r>
        <w:rPr>
          <w:color w:val="000000"/>
        </w:rPr>
        <w:t>a written agreement that is complete, clear and unambiguous on its face must be enforced according to the plain meaning of its terms.</w:t>
      </w:r>
      <w:r>
        <w:rPr>
          <w:color w:val="000000"/>
        </w:rPr>
        <w:t>”</w:t>
      </w:r>
      <w:r>
        <w:rPr>
          <w:color w:val="000000"/>
        </w:rPr>
        <w:t xml:space="preserve"> </w:t>
      </w:r>
      <w:hyperlink r:id="rId47" w:history="1">
        <w:r>
          <w:rPr>
            <w:i/>
            <w:iCs/>
            <w:color w:val="000000"/>
          </w:rPr>
          <w:t>Greenfield,</w:t>
        </w:r>
        <w:r>
          <w:rPr>
            <w:color w:val="000000"/>
          </w:rPr>
          <w:t xml:space="preserve"> 98 N</w:t>
        </w:r>
        <w:r>
          <w:rPr>
            <w:color w:val="000000"/>
          </w:rPr>
          <w:t>.Y.2d at 569, 750 N.Y.S.2d 565, 780 N.E.2d 166</w:t>
        </w:r>
      </w:hyperlink>
      <w:r>
        <w:rPr>
          <w:color w:val="000000"/>
        </w:rPr>
        <w:t xml:space="preserve"> (citing </w:t>
      </w:r>
      <w:hyperlink r:id="rId48" w:history="1">
        <w:r>
          <w:rPr>
            <w:i/>
            <w:iCs/>
            <w:color w:val="000000"/>
          </w:rPr>
          <w:t>R/S Assoc. v. N.Y. Job Dev. Auth.,</w:t>
        </w:r>
        <w:r>
          <w:rPr>
            <w:color w:val="000000"/>
          </w:rPr>
          <w:t xml:space="preserve"> 98 N.Y.2d 29, 32, 744 N.Y.S.2d 358, 771 N.E.2d 240 (2002)</w:t>
        </w:r>
      </w:hyperlink>
      <w:r>
        <w:rPr>
          <w:color w:val="000000"/>
        </w:rPr>
        <w:t xml:space="preserve">). The meaning of a contract, however, is not </w:t>
      </w:r>
      <w:r>
        <w:rPr>
          <w:color w:val="000000"/>
        </w:rPr>
        <w:t>“</w:t>
      </w:r>
      <w:r>
        <w:rPr>
          <w:color w:val="000000"/>
        </w:rPr>
        <w:t>necessarily to be fix</w:t>
      </w:r>
      <w:r>
        <w:rPr>
          <w:color w:val="000000"/>
        </w:rPr>
        <w:t>ed in absolute accordance with the literal meaning of the language used,</w:t>
      </w:r>
      <w:r>
        <w:rPr>
          <w:color w:val="000000"/>
        </w:rPr>
        <w:t>”</w:t>
      </w:r>
      <w:r>
        <w:rPr>
          <w:color w:val="000000"/>
        </w:rPr>
        <w:t xml:space="preserve"> </w:t>
      </w:r>
      <w:hyperlink r:id="rId49" w:history="1">
        <w:r>
          <w:rPr>
            <w:i/>
            <w:iCs/>
            <w:color w:val="000000"/>
          </w:rPr>
          <w:t>In re Bond &amp; Mortg. Guar. Co.,</w:t>
        </w:r>
        <w:r>
          <w:rPr>
            <w:color w:val="000000"/>
          </w:rPr>
          <w:t xml:space="preserve"> 267 N.Y. 419, 425, 196 N.E. 313 (1935)</w:t>
        </w:r>
      </w:hyperlink>
      <w:r>
        <w:rPr>
          <w:color w:val="000000"/>
        </w:rPr>
        <w:t xml:space="preserve">, for the words of a contract must be given a </w:t>
      </w:r>
      <w:r>
        <w:rPr>
          <w:color w:val="000000"/>
        </w:rPr>
        <w:t>“</w:t>
      </w:r>
      <w:r>
        <w:rPr>
          <w:color w:val="000000"/>
        </w:rPr>
        <w:t xml:space="preserve"> </w:t>
      </w:r>
      <w:r>
        <w:rPr>
          <w:color w:val="000000"/>
        </w:rPr>
        <w:t>‘</w:t>
      </w:r>
      <w:r>
        <w:rPr>
          <w:color w:val="000000"/>
        </w:rPr>
        <w:t>fair and reasonable meaning</w:t>
      </w:r>
      <w:r>
        <w:rPr>
          <w:color w:val="000000"/>
        </w:rPr>
        <w:t>’</w:t>
      </w:r>
      <w:r>
        <w:rPr>
          <w:color w:val="000000"/>
        </w:rPr>
        <w:t xml:space="preserve"> </w:t>
      </w:r>
      <w:r>
        <w:rPr>
          <w:color w:val="000000"/>
        </w:rPr>
        <w:t>”</w:t>
      </w:r>
      <w:r>
        <w:rPr>
          <w:color w:val="000000"/>
        </w:rPr>
        <w:t xml:space="preserve"> in a</w:t>
      </w:r>
      <w:r>
        <w:rPr>
          <w:color w:val="000000"/>
        </w:rPr>
        <w:t xml:space="preserve">ccordance with the parties’ intent. </w:t>
      </w:r>
      <w:hyperlink r:id="rId50" w:history="1">
        <w:r>
          <w:rPr>
            <w:i/>
            <w:iCs/>
            <w:color w:val="000000"/>
          </w:rPr>
          <w:t>Sutton v. E. River Sav. Bank,</w:t>
        </w:r>
        <w:r>
          <w:rPr>
            <w:color w:val="000000"/>
          </w:rPr>
          <w:t xml:space="preserve"> 55 N.Y.2d 550, 555, 450 N.Y.S.2d 460, 435 N.E.2d 1075 (1982)</w:t>
        </w:r>
      </w:hyperlink>
      <w:r>
        <w:rPr>
          <w:color w:val="000000"/>
        </w:rPr>
        <w:t xml:space="preserve"> (citation omitted).</w:t>
      </w:r>
    </w:p>
    <w:p w:rsidR="00000000" w:rsidRDefault="002262B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37" w:name="co_footnote_B00652033547687_1"/>
          <w:bookmarkEnd w:id="37"/>
          <w:p w:rsidR="00000000" w:rsidRDefault="002262B3">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w:instrText>
            </w:r>
            <w:r>
              <w:rPr>
                <w:color w:val="000000"/>
              </w:rPr>
              <w:instrText xml:space="preserve">oteReference_B00652033547687_ID0" </w:instrText>
            </w:r>
            <w:r>
              <w:rPr>
                <w:color w:val="000000"/>
              </w:rPr>
            </w:r>
            <w:r>
              <w:rPr>
                <w:color w:val="000000"/>
              </w:rPr>
              <w:fldChar w:fldCharType="separate"/>
            </w:r>
            <w:r>
              <w:rPr>
                <w:color w:val="000000"/>
                <w:vertAlign w:val="superscript"/>
              </w:rPr>
              <w:t>5</w:t>
            </w:r>
            <w:r>
              <w:rPr>
                <w:color w:val="000000"/>
              </w:rPr>
              <w:fldChar w:fldCharType="end"/>
            </w:r>
          </w:p>
          <w:p w:rsidR="00000000" w:rsidRDefault="002262B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62B3">
            <w:pPr>
              <w:widowControl w:val="0"/>
              <w:autoSpaceDE w:val="0"/>
              <w:autoSpaceDN w:val="0"/>
              <w:adjustRightInd w:val="0"/>
              <w:jc w:val="both"/>
              <w:rPr>
                <w:color w:val="000000"/>
                <w:sz w:val="18"/>
                <w:szCs w:val="18"/>
              </w:rPr>
            </w:pPr>
            <w:r>
              <w:rPr>
                <w:color w:val="000000"/>
                <w:sz w:val="18"/>
                <w:szCs w:val="18"/>
              </w:rPr>
              <w:t xml:space="preserve">New York law applies. </w:t>
            </w:r>
            <w:r>
              <w:rPr>
                <w:i/>
                <w:iCs/>
                <w:color w:val="000000"/>
                <w:sz w:val="18"/>
                <w:szCs w:val="18"/>
              </w:rPr>
              <w:t>See</w:t>
            </w:r>
            <w:r>
              <w:rPr>
                <w:color w:val="000000"/>
                <w:sz w:val="18"/>
                <w:szCs w:val="18"/>
              </w:rPr>
              <w:t xml:space="preserve"> Air Transportation Safety and Stabilization Act of 2001, </w:t>
            </w:r>
            <w:r>
              <w:rPr>
                <w:color w:val="000000"/>
                <w:sz w:val="18"/>
                <w:szCs w:val="18"/>
              </w:rPr>
              <w:t>§</w:t>
            </w:r>
            <w:r>
              <w:rPr>
                <w:color w:val="000000"/>
                <w:sz w:val="18"/>
                <w:szCs w:val="18"/>
              </w:rPr>
              <w:t xml:space="preserve"> 408(b)(2), </w:t>
            </w:r>
            <w:hyperlink r:id="rId51" w:history="1">
              <w:r>
                <w:rPr>
                  <w:color w:val="000000"/>
                  <w:sz w:val="18"/>
                  <w:szCs w:val="18"/>
                </w:rPr>
                <w:t xml:space="preserve">Pub.L. No. 107–42, 115 Stat. 230 </w:t>
              </w:r>
            </w:hyperlink>
            <w:r>
              <w:rPr>
                <w:color w:val="000000"/>
                <w:sz w:val="18"/>
                <w:szCs w:val="18"/>
              </w:rPr>
              <w:t>(codified at note pr</w:t>
            </w:r>
            <w:r>
              <w:rPr>
                <w:color w:val="000000"/>
                <w:sz w:val="18"/>
                <w:szCs w:val="18"/>
              </w:rPr>
              <w:t xml:space="preserve">eceding </w:t>
            </w:r>
            <w:hyperlink r:id="rId52" w:history="1">
              <w:r>
                <w:rPr>
                  <w:color w:val="000000"/>
                  <w:sz w:val="18"/>
                  <w:szCs w:val="18"/>
                </w:rPr>
                <w:t>49 U.S.C. § 40101</w:t>
              </w:r>
            </w:hyperlink>
            <w:r>
              <w:rPr>
                <w:color w:val="000000"/>
                <w:sz w:val="18"/>
                <w:szCs w:val="18"/>
              </w:rPr>
              <w:t>).</w:t>
            </w:r>
          </w:p>
          <w:p w:rsidR="00000000" w:rsidRDefault="002262B3">
            <w:pPr>
              <w:widowControl w:val="0"/>
              <w:autoSpaceDE w:val="0"/>
              <w:autoSpaceDN w:val="0"/>
              <w:adjustRightInd w:val="0"/>
              <w:jc w:val="both"/>
              <w:rPr>
                <w:color w:val="000000"/>
                <w:sz w:val="18"/>
                <w:szCs w:val="18"/>
              </w:rPr>
            </w:pPr>
          </w:p>
        </w:tc>
      </w:tr>
    </w:tbl>
    <w:p w:rsidR="00000000" w:rsidRDefault="002262B3">
      <w:pPr>
        <w:widowControl w:val="0"/>
        <w:autoSpaceDE w:val="0"/>
        <w:autoSpaceDN w:val="0"/>
        <w:adjustRightInd w:val="0"/>
        <w:jc w:val="both"/>
        <w:rPr>
          <w:color w:val="000000"/>
        </w:rPr>
      </w:pPr>
    </w:p>
    <w:p w:rsidR="00000000" w:rsidRDefault="002262B3">
      <w:pPr>
        <w:widowControl w:val="0"/>
        <w:autoSpaceDE w:val="0"/>
        <w:autoSpaceDN w:val="0"/>
        <w:adjustRightInd w:val="0"/>
        <w:jc w:val="both"/>
        <w:rPr>
          <w:color w:val="000000"/>
        </w:rPr>
      </w:pPr>
      <w:hyperlink r:id="rId53" w:history="1">
        <w:r>
          <w:rPr>
            <w:b/>
            <w:bCs/>
            <w:color w:val="000000"/>
            <w:vertAlign w:val="superscript"/>
          </w:rPr>
          <w:t>[7]</w:t>
        </w:r>
      </w:hyperlink>
      <w:bookmarkStart w:id="38" w:name="co_anchor_B72033547687_1"/>
      <w:bookmarkEnd w:id="38"/>
      <w:r>
        <w:rPr>
          <w:color w:val="000000"/>
        </w:rPr>
        <w:t xml:space="preserve"> </w:t>
      </w:r>
      <w:hyperlink r:id="rId54" w:history="1">
        <w:r>
          <w:rPr>
            <w:b/>
            <w:bCs/>
            <w:color w:val="000000"/>
            <w:vertAlign w:val="superscript"/>
          </w:rPr>
          <w:t>[8]</w:t>
        </w:r>
      </w:hyperlink>
      <w:bookmarkStart w:id="39" w:name="co_anchor_B82033547687_1"/>
      <w:bookmarkEnd w:id="39"/>
      <w:r>
        <w:rPr>
          <w:color w:val="000000"/>
        </w:rPr>
        <w:t xml:space="preserve"> </w:t>
      </w:r>
      <w:hyperlink r:id="rId55" w:history="1">
        <w:r>
          <w:rPr>
            <w:b/>
            <w:bCs/>
            <w:color w:val="000000"/>
            <w:vertAlign w:val="superscript"/>
          </w:rPr>
          <w:t>[9]</w:t>
        </w:r>
      </w:hyperlink>
      <w:bookmarkStart w:id="40" w:name="co_anchor_B92033547687_1"/>
      <w:bookmarkEnd w:id="40"/>
      <w:r>
        <w:rPr>
          <w:color w:val="000000"/>
        </w:rPr>
        <w:t xml:space="preserve"> If the terms of an agreement </w:t>
      </w:r>
      <w:r>
        <w:rPr>
          <w:color w:val="000000"/>
        </w:rPr>
        <w:t>“</w:t>
      </w:r>
      <w:r>
        <w:rPr>
          <w:color w:val="000000"/>
        </w:rPr>
        <w:t>suggest more than one meaning when viewed objectively by a reasonably intelligent person,</w:t>
      </w:r>
      <w:r>
        <w:rPr>
          <w:color w:val="000000"/>
        </w:rPr>
        <w:t>”</w:t>
      </w:r>
      <w:r>
        <w:rPr>
          <w:color w:val="000000"/>
        </w:rPr>
        <w:t xml:space="preserve"> then the</w:t>
      </w:r>
      <w:r>
        <w:rPr>
          <w:color w:val="000000"/>
        </w:rPr>
        <w:t xml:space="preserve"> agreement is ambiguous and extrinsic evidence may be considered to determine the parties’ intent. </w:t>
      </w:r>
      <w:hyperlink r:id="rId56" w:history="1">
        <w:r>
          <w:rPr>
            <w:i/>
            <w:iCs/>
            <w:color w:val="000000"/>
          </w:rPr>
          <w:t>Law Debenture Trust Co. of N.Y. v. Maverick Tube Corp.,</w:t>
        </w:r>
        <w:r>
          <w:rPr>
            <w:color w:val="000000"/>
          </w:rPr>
          <w:t xml:space="preserve"> 595 F.3d 458, 466 (2d Cir.2010)</w:t>
        </w:r>
      </w:hyperlink>
      <w:r>
        <w:rPr>
          <w:color w:val="000000"/>
        </w:rPr>
        <w:t xml:space="preserve"> (in</w:t>
      </w:r>
      <w:r>
        <w:rPr>
          <w:color w:val="000000"/>
        </w:rPr>
        <w:t xml:space="preserve">ternal quotation marks omitted). The existence of an ambiguity is to </w:t>
      </w:r>
      <w:r>
        <w:rPr>
          <w:color w:val="000000"/>
        </w:rPr>
        <w:t>“</w:t>
      </w:r>
      <w:r>
        <w:rPr>
          <w:color w:val="000000"/>
        </w:rPr>
        <w:t>be ascertained from the face of an agreement without regard to extrinsic evidence.</w:t>
      </w:r>
      <w:r>
        <w:rPr>
          <w:color w:val="000000"/>
        </w:rPr>
        <w:t>”</w:t>
      </w:r>
      <w:r>
        <w:rPr>
          <w:color w:val="000000"/>
        </w:rPr>
        <w:t xml:space="preserve"> </w:t>
      </w:r>
      <w:hyperlink r:id="rId57" w:history="1">
        <w:r>
          <w:rPr>
            <w:i/>
            <w:iCs/>
            <w:color w:val="000000"/>
          </w:rPr>
          <w:t>Reiss v. Fin. Perf. Corp.,</w:t>
        </w:r>
        <w:r>
          <w:rPr>
            <w:color w:val="000000"/>
          </w:rPr>
          <w:t xml:space="preserve"> 97 N.Y.2d 195, 199, 738 N.Y.S.2d 658, 764 N.E.2d 958 (2001</w:t>
        </w:r>
        <w:r>
          <w:rPr>
            <w:color w:val="000000"/>
          </w:rPr>
          <w:t>)</w:t>
        </w:r>
      </w:hyperlink>
      <w:r>
        <w:rPr>
          <w:color w:val="000000"/>
        </w:rPr>
        <w:t xml:space="preserve">. Moreover, an omission or a mistake does not automatically render a contract ambiguous, </w:t>
      </w:r>
      <w:r>
        <w:rPr>
          <w:i/>
          <w:iCs/>
          <w:color w:val="000000"/>
        </w:rPr>
        <w:t>see id.,</w:t>
      </w:r>
      <w:r>
        <w:rPr>
          <w:color w:val="000000"/>
        </w:rPr>
        <w:t xml:space="preserve"> but </w:t>
      </w:r>
      <w:r>
        <w:rPr>
          <w:color w:val="000000"/>
        </w:rPr>
        <w:t>“</w:t>
      </w:r>
      <w:r>
        <w:rPr>
          <w:color w:val="000000"/>
        </w:rPr>
        <w:t>an omission as to a material issue can create an ambiguity ... where the context within the document’s four corners suggests that the partie</w:t>
      </w:r>
      <w:r>
        <w:rPr>
          <w:color w:val="000000"/>
        </w:rPr>
        <w:t>s intended a result not expressly stated,</w:t>
      </w:r>
      <w:r>
        <w:rPr>
          <w:color w:val="000000"/>
        </w:rPr>
        <w:t>”</w:t>
      </w:r>
      <w:r>
        <w:rPr>
          <w:color w:val="000000"/>
        </w:rPr>
        <w:t xml:space="preserve"> </w:t>
      </w:r>
      <w:hyperlink r:id="rId58" w:history="1">
        <w:r>
          <w:rPr>
            <w:i/>
            <w:iCs/>
            <w:color w:val="000000"/>
          </w:rPr>
          <w:t>Hart v. Kinney Drugs, Inc.,</w:t>
        </w:r>
        <w:r>
          <w:rPr>
            <w:color w:val="000000"/>
          </w:rPr>
          <w:t xml:space="preserve"> 67 A.D.3d 1154, 888 N.Y.S.2d 297, 300 (3d Dep’t 2009)</w:t>
        </w:r>
      </w:hyperlink>
      <w:r>
        <w:rPr>
          <w:color w:val="000000"/>
        </w:rPr>
        <w: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hyperlink r:id="rId59" w:history="1">
        <w:r>
          <w:rPr>
            <w:b/>
            <w:bCs/>
            <w:color w:val="000000"/>
            <w:vertAlign w:val="superscript"/>
          </w:rPr>
          <w:t>[10]</w:t>
        </w:r>
      </w:hyperlink>
      <w:bookmarkStart w:id="41" w:name="co_anchor_B102033547687_1"/>
      <w:bookmarkEnd w:id="41"/>
      <w:r>
        <w:rPr>
          <w:color w:val="000000"/>
        </w:rPr>
        <w:t xml:space="preserve"> </w:t>
      </w:r>
      <w:hyperlink r:id="rId60" w:history="1">
        <w:r>
          <w:rPr>
            <w:b/>
            <w:bCs/>
            <w:color w:val="000000"/>
            <w:vertAlign w:val="superscript"/>
          </w:rPr>
          <w:t>[11]</w:t>
        </w:r>
      </w:hyperlink>
      <w:bookmarkStart w:id="42" w:name="co_anchor_B112033547687_1"/>
      <w:bookmarkEnd w:id="42"/>
      <w:r>
        <w:rPr>
          <w:color w:val="000000"/>
        </w:rPr>
        <w:t xml:space="preserve"> </w:t>
      </w:r>
      <w:hyperlink r:id="rId61" w:history="1">
        <w:r>
          <w:rPr>
            <w:b/>
            <w:bCs/>
            <w:color w:val="000000"/>
            <w:vertAlign w:val="superscript"/>
          </w:rPr>
          <w:t>[12]</w:t>
        </w:r>
      </w:hyperlink>
      <w:bookmarkStart w:id="43" w:name="co_anchor_B122033547687_1"/>
      <w:bookmarkEnd w:id="43"/>
      <w:r>
        <w:rPr>
          <w:color w:val="000000"/>
        </w:rPr>
        <w:t xml:space="preserve"> </w:t>
      </w:r>
      <w:r>
        <w:rPr>
          <w:color w:val="000000"/>
        </w:rPr>
        <w:t xml:space="preserve">In limited circumstances, a court may supply a missing term in a contract. </w:t>
      </w:r>
      <w:r>
        <w:rPr>
          <w:i/>
          <w:iCs/>
          <w:color w:val="000000"/>
        </w:rPr>
        <w:t xml:space="preserve">See </w:t>
      </w:r>
      <w:hyperlink r:id="rId62" w:history="1">
        <w:r>
          <w:rPr>
            <w:i/>
            <w:iCs/>
            <w:color w:val="000000"/>
          </w:rPr>
          <w:t>Haines v. City of New York,</w:t>
        </w:r>
        <w:r>
          <w:rPr>
            <w:color w:val="000000"/>
          </w:rPr>
          <w:t xml:space="preserve"> 41 N.Y.2d 769, 771–72, 396 N.Y.S.2d 155, 364 N.E.2d 820 (1977)</w:t>
        </w:r>
      </w:hyperlink>
      <w:r>
        <w:rPr>
          <w:color w:val="000000"/>
        </w:rPr>
        <w:t xml:space="preserve">; </w:t>
      </w:r>
      <w:hyperlink r:id="rId63" w:history="1">
        <w:r>
          <w:rPr>
            <w:i/>
            <w:iCs/>
            <w:color w:val="000000"/>
          </w:rPr>
          <w:t>In re Bond &amp; Mortg. Guar. Co.,</w:t>
        </w:r>
        <w:r>
          <w:rPr>
            <w:color w:val="000000"/>
          </w:rPr>
          <w:t xml:space="preserve"> 267 N.Y.</w:t>
        </w:r>
        <w:r>
          <w:rPr>
            <w:color w:val="000000"/>
          </w:rPr>
          <w:t xml:space="preserve"> at 425, 196 N.E. 313</w:t>
        </w:r>
      </w:hyperlink>
      <w:r>
        <w:rPr>
          <w:color w:val="000000"/>
        </w:rPr>
        <w:t xml:space="preserve">; </w:t>
      </w:r>
      <w:hyperlink r:id="rId64" w:history="1">
        <w:r>
          <w:rPr>
            <w:i/>
            <w:iCs/>
            <w:color w:val="000000"/>
          </w:rPr>
          <w:t>Jermyn v. Searing,</w:t>
        </w:r>
        <w:r>
          <w:rPr>
            <w:color w:val="000000"/>
          </w:rPr>
          <w:t xml:space="preserve"> 225 N.Y. 525, 541, 122 N.E. 706 (1919)</w:t>
        </w:r>
      </w:hyperlink>
      <w:r>
        <w:rPr>
          <w:color w:val="000000"/>
        </w:rPr>
        <w:t xml:space="preserve">. A court may do so if the contract is ambiguous and the term </w:t>
      </w:r>
      <w:r>
        <w:rPr>
          <w:color w:val="000000"/>
        </w:rPr>
        <w:t>“</w:t>
      </w:r>
      <w:r>
        <w:rPr>
          <w:color w:val="000000"/>
        </w:rPr>
        <w:t xml:space="preserve">may be fairly and reasonably fixed by the surrounding circumstances and </w:t>
      </w:r>
      <w:r>
        <w:rPr>
          <w:color w:val="000000"/>
        </w:rPr>
        <w:t>the parties’ intent.</w:t>
      </w:r>
      <w:r>
        <w:rPr>
          <w:color w:val="000000"/>
        </w:rPr>
        <w:t>”</w:t>
      </w:r>
      <w:r>
        <w:rPr>
          <w:color w:val="000000"/>
        </w:rPr>
        <w:t xml:space="preserve"> </w:t>
      </w:r>
      <w:hyperlink r:id="rId65" w:history="1">
        <w:r>
          <w:rPr>
            <w:i/>
            <w:iCs/>
            <w:color w:val="000000"/>
          </w:rPr>
          <w:t>Haines,</w:t>
        </w:r>
        <w:r>
          <w:rPr>
            <w:color w:val="000000"/>
          </w:rPr>
          <w:t xml:space="preserve"> 41 N.Y.2d at 771–72, 396 N.Y.S.2d 155, 364 N.E.2d 820</w:t>
        </w:r>
      </w:hyperlink>
      <w:r>
        <w:rPr>
          <w:color w:val="000000"/>
        </w:rPr>
        <w:t xml:space="preserve">; </w:t>
      </w:r>
      <w:r>
        <w:rPr>
          <w:i/>
          <w:iCs/>
          <w:color w:val="000000"/>
        </w:rPr>
        <w:t xml:space="preserve">see also </w:t>
      </w:r>
      <w:hyperlink r:id="rId66" w:history="1">
        <w:r>
          <w:rPr>
            <w:i/>
            <w:iCs/>
            <w:color w:val="000000"/>
          </w:rPr>
          <w:t>City of Yonkers v. Otis Elevator Co.,</w:t>
        </w:r>
        <w:r>
          <w:rPr>
            <w:color w:val="000000"/>
          </w:rPr>
          <w:t xml:space="preserve"> 844 F.2d 42, 48 (2d Cir.1988)</w:t>
        </w:r>
      </w:hyperlink>
      <w:r>
        <w:rPr>
          <w:color w:val="000000"/>
        </w:rPr>
        <w:t xml:space="preserve"> (</w:t>
      </w:r>
      <w:r>
        <w:rPr>
          <w:color w:val="000000"/>
        </w:rPr>
        <w:t xml:space="preserve">explaining that terms may be </w:t>
      </w:r>
      <w:bookmarkStart w:id="44" w:name="co_pp_sp_506_123_1"/>
      <w:bookmarkEnd w:id="44"/>
      <w:r>
        <w:rPr>
          <w:b/>
          <w:bCs/>
          <w:color w:val="000000"/>
        </w:rPr>
        <w:t>*123</w:t>
      </w:r>
      <w:r>
        <w:rPr>
          <w:color w:val="000000"/>
        </w:rPr>
        <w:t xml:space="preserve"> implied based on either (1) what </w:t>
      </w:r>
      <w:r>
        <w:rPr>
          <w:color w:val="000000"/>
        </w:rPr>
        <w:t>“</w:t>
      </w:r>
      <w:r>
        <w:rPr>
          <w:color w:val="000000"/>
        </w:rPr>
        <w:t>the parties intended,</w:t>
      </w:r>
      <w:r>
        <w:rPr>
          <w:color w:val="000000"/>
        </w:rPr>
        <w:t>”</w:t>
      </w:r>
      <w:r>
        <w:rPr>
          <w:color w:val="000000"/>
        </w:rPr>
        <w:t xml:space="preserve"> (2) what </w:t>
      </w:r>
      <w:r>
        <w:rPr>
          <w:color w:val="000000"/>
        </w:rPr>
        <w:t>“</w:t>
      </w:r>
      <w:r>
        <w:rPr>
          <w:color w:val="000000"/>
        </w:rPr>
        <w:t>the parties would have intended had they thought about it,</w:t>
      </w:r>
      <w:r>
        <w:rPr>
          <w:color w:val="000000"/>
        </w:rPr>
        <w:t>”</w:t>
      </w:r>
      <w:r>
        <w:rPr>
          <w:color w:val="000000"/>
        </w:rPr>
        <w:t xml:space="preserve"> or (3) which </w:t>
      </w:r>
      <w:r>
        <w:rPr>
          <w:color w:val="000000"/>
        </w:rPr>
        <w:t>“</w:t>
      </w:r>
      <w:r>
        <w:rPr>
          <w:color w:val="000000"/>
        </w:rPr>
        <w:t>terms ... are fair</w:t>
      </w:r>
      <w:r>
        <w:rPr>
          <w:color w:val="000000"/>
        </w:rPr>
        <w:t>”</w:t>
      </w:r>
      <w:r>
        <w:rPr>
          <w:color w:val="000000"/>
        </w:rPr>
        <w:t xml:space="preserve"> so long as </w:t>
      </w:r>
      <w:r>
        <w:rPr>
          <w:color w:val="000000"/>
        </w:rPr>
        <w:t>“</w:t>
      </w:r>
      <w:r>
        <w:rPr>
          <w:color w:val="000000"/>
        </w:rPr>
        <w:t>the parties [</w:t>
      </w:r>
      <w:r>
        <w:rPr>
          <w:color w:val="000000"/>
        </w:rPr>
        <w:t>have not] expressed [an] intent to the contrary</w:t>
      </w:r>
      <w:r>
        <w:rPr>
          <w:color w:val="000000"/>
        </w:rPr>
        <w:t>”</w:t>
      </w:r>
      <w:r>
        <w:rPr>
          <w:color w:val="000000"/>
        </w:rPr>
        <w:t xml:space="preserve"> (quoting Helen Hadjiyannakis, </w:t>
      </w:r>
      <w:hyperlink r:id="rId67" w:history="1">
        <w:r>
          <w:rPr>
            <w:i/>
            <w:iCs/>
            <w:color w:val="000000"/>
          </w:rPr>
          <w:t>The Parol Evidence Rule and Implied Terms: The Sounds of Silence,</w:t>
        </w:r>
        <w:r>
          <w:rPr>
            <w:color w:val="000000"/>
          </w:rPr>
          <w:t xml:space="preserve"> 54 Fordham L.Rev. 35, 38 n. 22 (1985)</w:t>
        </w:r>
      </w:hyperlink>
      <w:r>
        <w:rPr>
          <w:color w:val="000000"/>
        </w:rPr>
        <w:t>)). Cour</w:t>
      </w:r>
      <w:r>
        <w:rPr>
          <w:color w:val="000000"/>
        </w:rPr>
        <w:t xml:space="preserve">ts should be </w:t>
      </w:r>
      <w:r>
        <w:rPr>
          <w:color w:val="000000"/>
        </w:rPr>
        <w:t>“</w:t>
      </w:r>
      <w:r>
        <w:rPr>
          <w:color w:val="000000"/>
        </w:rPr>
        <w:t>extremely reluctant,</w:t>
      </w:r>
      <w:r>
        <w:rPr>
          <w:color w:val="000000"/>
        </w:rPr>
        <w:t>”</w:t>
      </w:r>
      <w:r>
        <w:rPr>
          <w:color w:val="000000"/>
        </w:rPr>
        <w:t xml:space="preserve"> however, to imply a term that </w:t>
      </w:r>
      <w:r>
        <w:rPr>
          <w:color w:val="000000"/>
        </w:rPr>
        <w:t>“</w:t>
      </w:r>
      <w:r>
        <w:rPr>
          <w:color w:val="000000"/>
        </w:rPr>
        <w:t>the parties have neglected to specifically include.</w:t>
      </w:r>
      <w:r>
        <w:rPr>
          <w:color w:val="000000"/>
        </w:rPr>
        <w:t>”</w:t>
      </w:r>
      <w:r>
        <w:rPr>
          <w:color w:val="000000"/>
        </w:rPr>
        <w:t xml:space="preserve"> </w:t>
      </w:r>
      <w:hyperlink r:id="rId68" w:history="1">
        <w:r>
          <w:rPr>
            <w:i/>
            <w:iCs/>
            <w:color w:val="000000"/>
          </w:rPr>
          <w:t>Vt. Teddy Bear Co. v. 538 Madison Realty Co.,</w:t>
        </w:r>
        <w:r>
          <w:rPr>
            <w:color w:val="000000"/>
          </w:rPr>
          <w:t xml:space="preserve"> 1 N.Y.3d 470, 475, 775 N.Y.S.2d 765, 807 N.E.2d 876 (2004)</w:t>
        </w:r>
      </w:hyperlink>
      <w:r>
        <w:rPr>
          <w:color w:val="000000"/>
        </w:rPr>
        <w:t xml:space="preserve"> (q</w:t>
      </w:r>
      <w:r>
        <w:rPr>
          <w:color w:val="000000"/>
        </w:rPr>
        <w:t xml:space="preserve">uoting </w:t>
      </w:r>
      <w:hyperlink r:id="rId69" w:history="1">
        <w:r>
          <w:rPr>
            <w:i/>
            <w:iCs/>
            <w:color w:val="000000"/>
          </w:rPr>
          <w:t>Rowe v. Great Atl. &amp; Pac. Tea Co.,</w:t>
        </w:r>
        <w:r>
          <w:rPr>
            <w:color w:val="000000"/>
          </w:rPr>
          <w:t xml:space="preserve"> 46 N.Y.2d 62, 72, 412 N.Y.S.2d 827, 385 N.E.2d 566 (1978)</w:t>
        </w:r>
      </w:hyperlink>
      <w:r>
        <w:rPr>
          <w:color w:val="000000"/>
        </w:rPr>
        <w:t xml:space="preserve">). Indeed, </w:t>
      </w:r>
      <w:r>
        <w:rPr>
          <w:color w:val="000000"/>
        </w:rPr>
        <w:t>“</w:t>
      </w:r>
      <w:r>
        <w:rPr>
          <w:color w:val="000000"/>
        </w:rPr>
        <w:t xml:space="preserve"> </w:t>
      </w:r>
      <w:r>
        <w:rPr>
          <w:color w:val="000000"/>
        </w:rPr>
        <w:t>‘</w:t>
      </w:r>
      <w:r>
        <w:rPr>
          <w:color w:val="000000"/>
        </w:rPr>
        <w:t>courts may not by construction add or excise terms, nor distort the meaning of those used and thereby make a new c</w:t>
      </w:r>
      <w:r>
        <w:rPr>
          <w:color w:val="000000"/>
        </w:rPr>
        <w:t>ontract for the parties under the guise of interpreting the writing.</w:t>
      </w:r>
      <w:r>
        <w:rPr>
          <w:color w:val="000000"/>
        </w:rPr>
        <w:t>’</w:t>
      </w:r>
      <w:r>
        <w:rPr>
          <w:color w:val="000000"/>
        </w:rPr>
        <w:t xml:space="preserve"> </w:t>
      </w:r>
      <w:r>
        <w:rPr>
          <w:color w:val="000000"/>
        </w:rPr>
        <w:t>”</w:t>
      </w:r>
      <w:r>
        <w:rPr>
          <w:color w:val="000000"/>
        </w:rPr>
        <w:t xml:space="preserve"> </w:t>
      </w:r>
      <w:r>
        <w:rPr>
          <w:i/>
          <w:iCs/>
          <w:color w:val="000000"/>
        </w:rPr>
        <w:t>Id.</w:t>
      </w:r>
      <w:r>
        <w:rPr>
          <w:color w:val="000000"/>
        </w:rPr>
        <w:t xml:space="preserve"> (quoting </w:t>
      </w:r>
      <w:hyperlink r:id="rId70" w:history="1">
        <w:r>
          <w:rPr>
            <w:i/>
            <w:iCs/>
            <w:color w:val="000000"/>
          </w:rPr>
          <w:t>Reiss,</w:t>
        </w:r>
        <w:r>
          <w:rPr>
            <w:color w:val="000000"/>
          </w:rPr>
          <w:t xml:space="preserve"> 97 N.Y.2d at 199, 738 N.Y.S.2d 658, 764 N.E.2d 958</w:t>
        </w:r>
      </w:hyperlink>
      <w:r>
        <w:rPr>
          <w:color w:val="000000"/>
        </w:rPr>
        <w:t xml:space="preserve">). A court may not imply a term based solely on </w:t>
      </w:r>
      <w:r>
        <w:rPr>
          <w:color w:val="000000"/>
        </w:rPr>
        <w:t>“</w:t>
      </w:r>
      <w:r>
        <w:rPr>
          <w:color w:val="000000"/>
        </w:rPr>
        <w:t>its personal notions of fairness,</w:t>
      </w:r>
      <w:r>
        <w:rPr>
          <w:color w:val="000000"/>
        </w:rPr>
        <w:t>”</w:t>
      </w:r>
      <w:r>
        <w:rPr>
          <w:color w:val="000000"/>
        </w:rPr>
        <w:t xml:space="preserve"> </w:t>
      </w:r>
      <w:hyperlink r:id="rId71" w:history="1">
        <w:r>
          <w:rPr>
            <w:i/>
            <w:iCs/>
            <w:color w:val="000000"/>
          </w:rPr>
          <w:t>Welsbach Elec. Corp. v. MasTec N. Am., Inc.,</w:t>
        </w:r>
        <w:r>
          <w:rPr>
            <w:color w:val="000000"/>
          </w:rPr>
          <w:t xml:space="preserve"> 7 N.Y.3d 624, 629, 825 N.Y.S.2d 692, 859 N.E.2d 498 (2006)</w:t>
        </w:r>
      </w:hyperlink>
      <w:r>
        <w:rPr>
          <w:color w:val="000000"/>
        </w:rPr>
        <w:t xml:space="preserve">, for the </w:t>
      </w:r>
      <w:r>
        <w:rPr>
          <w:color w:val="000000"/>
        </w:rPr>
        <w:t>“</w:t>
      </w:r>
      <w:r>
        <w:rPr>
          <w:color w:val="000000"/>
        </w:rPr>
        <w:t>ascertainment of the intention of the parties is paramount,</w:t>
      </w:r>
      <w:r>
        <w:rPr>
          <w:color w:val="000000"/>
        </w:rPr>
        <w:t>”</w:t>
      </w:r>
      <w:r>
        <w:rPr>
          <w:color w:val="000000"/>
        </w:rPr>
        <w:t xml:space="preserve"> </w:t>
      </w:r>
      <w:hyperlink r:id="rId72" w:history="1">
        <w:r>
          <w:rPr>
            <w:i/>
            <w:iCs/>
            <w:color w:val="000000"/>
          </w:rPr>
          <w:t>Schmidt v. Magnetic Head Corp.,</w:t>
        </w:r>
        <w:r>
          <w:rPr>
            <w:color w:val="000000"/>
          </w:rPr>
          <w:t xml:space="preserve"> 97 A.D.2d 151, 468 N.Y.S.2d 649, 654 (2d Dep’t 1983)</w:t>
        </w:r>
      </w:hyperlink>
      <w:r>
        <w:rPr>
          <w:color w:val="000000"/>
        </w:rPr>
        <w: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45" w:name="co_anchor_Ic488eb46453811e498db8b09b4f04"/>
      <w:bookmarkEnd w:id="45"/>
    </w:p>
    <w:p w:rsidR="00000000" w:rsidRDefault="002262B3">
      <w:pPr>
        <w:widowControl w:val="0"/>
        <w:autoSpaceDE w:val="0"/>
        <w:autoSpaceDN w:val="0"/>
        <w:adjustRightInd w:val="0"/>
        <w:spacing w:before="200"/>
        <w:ind w:left="200"/>
        <w:rPr>
          <w:b/>
          <w:bCs/>
          <w:i/>
          <w:iCs/>
          <w:color w:val="000000"/>
        </w:rPr>
      </w:pPr>
      <w:r>
        <w:rPr>
          <w:b/>
          <w:bCs/>
          <w:color w:val="000000"/>
        </w:rPr>
        <w:t xml:space="preserve">ii. </w:t>
      </w:r>
      <w:r>
        <w:rPr>
          <w:b/>
          <w:bCs/>
          <w:i/>
          <w:iCs/>
          <w:color w:val="000000"/>
        </w:rPr>
        <w:t>Application</w:t>
      </w:r>
    </w:p>
    <w:p w:rsidR="00000000" w:rsidRDefault="002262B3">
      <w:pPr>
        <w:widowControl w:val="0"/>
        <w:autoSpaceDE w:val="0"/>
        <w:autoSpaceDN w:val="0"/>
        <w:adjustRightInd w:val="0"/>
        <w:jc w:val="both"/>
        <w:rPr>
          <w:color w:val="000000"/>
        </w:rPr>
      </w:pPr>
      <w:hyperlink r:id="rId73" w:history="1">
        <w:r>
          <w:rPr>
            <w:b/>
            <w:bCs/>
            <w:color w:val="000000"/>
            <w:vertAlign w:val="superscript"/>
          </w:rPr>
          <w:t>[13]</w:t>
        </w:r>
      </w:hyperlink>
      <w:bookmarkStart w:id="46" w:name="co_anchor_B132033547687_1"/>
      <w:bookmarkEnd w:id="46"/>
      <w:r>
        <w:rPr>
          <w:color w:val="000000"/>
        </w:rPr>
        <w:t xml:space="preserve"> The district court noted that the Agreement was missing a term, as the Agreement did not address whether plaintiffs whose claims were involuntarily dismissed should be included in the EPL. The district cou</w:t>
      </w:r>
      <w:r>
        <w:rPr>
          <w:color w:val="000000"/>
        </w:rPr>
        <w:t xml:space="preserve">rt observed that the Agreement </w:t>
      </w:r>
      <w:r>
        <w:rPr>
          <w:color w:val="000000"/>
        </w:rPr>
        <w:t>“</w:t>
      </w:r>
      <w:r>
        <w:rPr>
          <w:color w:val="000000"/>
        </w:rPr>
        <w:t>did not provide for involuntary dismissals of cases, or what effect they should have on the list of eligible plaintiffs.</w:t>
      </w:r>
      <w:r>
        <w:rPr>
          <w:color w:val="000000"/>
        </w:rPr>
        <w:t>”</w:t>
      </w:r>
      <w:r>
        <w:rPr>
          <w:color w:val="000000"/>
        </w:rPr>
        <w:t xml:space="preserve"> The district court then went on to hold that the phrase </w:t>
      </w:r>
      <w:r>
        <w:rPr>
          <w:color w:val="000000"/>
        </w:rPr>
        <w:t>“</w:t>
      </w:r>
      <w:r>
        <w:rPr>
          <w:color w:val="000000"/>
        </w:rPr>
        <w:t>Plaintiffs who dismiss ... by filing the Stip</w:t>
      </w:r>
      <w:r>
        <w:rPr>
          <w:color w:val="000000"/>
        </w:rPr>
        <w:t>ulation of Dismissal</w:t>
      </w:r>
      <w:r>
        <w:rPr>
          <w:color w:val="000000"/>
        </w:rPr>
        <w:t>”</w:t>
      </w:r>
      <w:r>
        <w:rPr>
          <w:color w:val="000000"/>
        </w:rPr>
        <w:t xml:space="preserve"> includes plaintiffs who did not file a stipulation of dismissal, but whose claims were dismissed involuntarily because of their non-responsiveness. The district court did not, however, address whether the Agreement was ambiguous, nor </w:t>
      </w:r>
      <w:r>
        <w:rPr>
          <w:color w:val="000000"/>
        </w:rPr>
        <w:t xml:space="preserve">did it attempt to determine whether a missing term could be </w:t>
      </w:r>
      <w:r>
        <w:rPr>
          <w:color w:val="000000"/>
        </w:rPr>
        <w:t>“</w:t>
      </w:r>
      <w:r>
        <w:rPr>
          <w:color w:val="000000"/>
        </w:rPr>
        <w:t>fairly and reasonably fixed by the surrounding circumstances and the parties’ intent.</w:t>
      </w:r>
      <w:r>
        <w:rPr>
          <w:color w:val="000000"/>
        </w:rPr>
        <w:t>”</w:t>
      </w:r>
      <w:r>
        <w:rPr>
          <w:color w:val="000000"/>
        </w:rPr>
        <w:t xml:space="preserve"> </w:t>
      </w:r>
      <w:hyperlink r:id="rId74" w:history="1">
        <w:r>
          <w:rPr>
            <w:i/>
            <w:iCs/>
            <w:color w:val="000000"/>
          </w:rPr>
          <w:t>Haines,</w:t>
        </w:r>
        <w:r>
          <w:rPr>
            <w:color w:val="000000"/>
          </w:rPr>
          <w:t xml:space="preserve"> 41 N.Y.2d at 772, 396 N.Y.S.2d 155, 364 N.E.2d 820</w:t>
        </w:r>
      </w:hyperlink>
      <w:r>
        <w:rPr>
          <w:color w:val="000000"/>
        </w:rPr>
        <w: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We conclude that </w:t>
      </w:r>
      <w:r>
        <w:rPr>
          <w:color w:val="000000"/>
        </w:rPr>
        <w:t>the Agreement is ambiguous as to whether plaintiffs whose claims were involuntarily dismissed are to be included in the EPL, and we vacate and remand to the district court for the purposes of considering what the parties intended in this respect.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First, the Agreement is silent as to the treatment of plaintiffs whose claims were involuntarily dismissed; it does not use the words </w:t>
      </w:r>
      <w:r>
        <w:rPr>
          <w:color w:val="000000"/>
        </w:rPr>
        <w:t>“</w:t>
      </w:r>
      <w:r>
        <w:rPr>
          <w:color w:val="000000"/>
        </w:rPr>
        <w:t>voluntary</w:t>
      </w:r>
      <w:r>
        <w:rPr>
          <w:color w:val="000000"/>
        </w:rPr>
        <w:t>”</w:t>
      </w:r>
      <w:r>
        <w:rPr>
          <w:color w:val="000000"/>
        </w:rPr>
        <w:t xml:space="preserve"> or </w:t>
      </w:r>
      <w:r>
        <w:rPr>
          <w:color w:val="000000"/>
        </w:rPr>
        <w:t>“</w:t>
      </w:r>
      <w:r>
        <w:rPr>
          <w:color w:val="000000"/>
        </w:rPr>
        <w:t>involuntary</w:t>
      </w:r>
      <w:r>
        <w:rPr>
          <w:color w:val="000000"/>
        </w:rPr>
        <w:t>”</w:t>
      </w:r>
      <w:r>
        <w:rPr>
          <w:color w:val="000000"/>
        </w:rPr>
        <w:t xml:space="preserve"> (although the Exhibit S Stipulation does use the term </w:t>
      </w:r>
      <w:r>
        <w:rPr>
          <w:color w:val="000000"/>
        </w:rPr>
        <w:t>“</w:t>
      </w:r>
      <w:r>
        <w:rPr>
          <w:color w:val="000000"/>
        </w:rPr>
        <w:t>voluntarily</w:t>
      </w:r>
      <w:r>
        <w:rPr>
          <w:color w:val="000000"/>
        </w:rPr>
        <w:t>”</w:t>
      </w:r>
      <w:r>
        <w:rPr>
          <w:color w:val="000000"/>
        </w:rPr>
        <w:t>). Likewise, it does not a</w:t>
      </w:r>
      <w:r>
        <w:rPr>
          <w:color w:val="000000"/>
        </w:rPr>
        <w:t>ddress whether plaintiffs’ counsel could file stipulations of dismissals based on implied authorization or apparent authority. This is a significant omission, as the claims of nearly 400 plaintiffs were involuntarily dismissed.</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Second, there is a lack of</w:t>
      </w:r>
      <w:r>
        <w:rPr>
          <w:color w:val="000000"/>
        </w:rPr>
        <w:t xml:space="preserve"> clarity and precision in the provisions governing the calculation of the Opt</w:t>
      </w:r>
      <w:r>
        <w:rPr>
          <w:color w:val="000000"/>
        </w:rPr>
        <w:t>–</w:t>
      </w:r>
      <w:r>
        <w:rPr>
          <w:color w:val="000000"/>
        </w:rPr>
        <w:t xml:space="preserve">In Threshold. The Agreement excludes </w:t>
      </w:r>
      <w:r>
        <w:rPr>
          <w:color w:val="000000"/>
        </w:rPr>
        <w:t>“</w:t>
      </w:r>
      <w:r>
        <w:rPr>
          <w:color w:val="000000"/>
        </w:rPr>
        <w:t>Plaintiffs who dismiss all of their Debris Removal Claims,</w:t>
      </w:r>
      <w:r>
        <w:rPr>
          <w:color w:val="000000"/>
        </w:rPr>
        <w:t>”</w:t>
      </w:r>
      <w:r>
        <w:rPr>
          <w:color w:val="000000"/>
        </w:rPr>
        <w:t xml:space="preserve"> but defines </w:t>
      </w:r>
      <w:r>
        <w:rPr>
          <w:color w:val="000000"/>
        </w:rPr>
        <w:t>“</w:t>
      </w:r>
      <w:r>
        <w:rPr>
          <w:color w:val="000000"/>
        </w:rPr>
        <w:t>Debris Removal Claims</w:t>
      </w:r>
      <w:r>
        <w:rPr>
          <w:color w:val="000000"/>
        </w:rPr>
        <w:t>”</w:t>
      </w:r>
      <w:r>
        <w:rPr>
          <w:color w:val="000000"/>
        </w:rPr>
        <w:t xml:space="preserve"> as </w:t>
      </w:r>
      <w:r>
        <w:rPr>
          <w:color w:val="000000"/>
        </w:rPr>
        <w:t>“</w:t>
      </w:r>
      <w:r>
        <w:rPr>
          <w:color w:val="000000"/>
        </w:rPr>
        <w:t xml:space="preserve">all claims ... </w:t>
      </w:r>
      <w:r>
        <w:rPr>
          <w:i/>
          <w:iCs/>
          <w:color w:val="000000"/>
        </w:rPr>
        <w:t>pending</w:t>
      </w:r>
      <w:r>
        <w:rPr>
          <w:color w:val="000000"/>
        </w:rPr>
        <w:t xml:space="preserve"> or received on or</w:t>
      </w:r>
      <w:r>
        <w:rPr>
          <w:color w:val="000000"/>
        </w:rPr>
        <w:t xml:space="preserve"> before April 12, 2010.</w:t>
      </w:r>
      <w:r>
        <w:rPr>
          <w:color w:val="000000"/>
        </w:rPr>
        <w:t>”</w:t>
      </w:r>
      <w:r>
        <w:rPr>
          <w:color w:val="000000"/>
        </w:rPr>
        <w:t xml:space="preserve"> Hence, there is some indication that the Agreement’s effectiveness and any Bonus Payment should be based on </w:t>
      </w:r>
      <w:r>
        <w:rPr>
          <w:color w:val="000000"/>
        </w:rPr>
        <w:t>“</w:t>
      </w:r>
      <w:r>
        <w:rPr>
          <w:color w:val="000000"/>
        </w:rPr>
        <w:t>pending</w:t>
      </w:r>
      <w:r>
        <w:rPr>
          <w:color w:val="000000"/>
        </w:rPr>
        <w:t>”</w:t>
      </w:r>
      <w:r>
        <w:rPr>
          <w:color w:val="000000"/>
        </w:rPr>
        <w:t xml:space="preserve"> claims; the claims in question were no longer </w:t>
      </w:r>
      <w:r>
        <w:rPr>
          <w:color w:val="000000"/>
        </w:rPr>
        <w:t>“</w:t>
      </w:r>
      <w:r>
        <w:rPr>
          <w:color w:val="000000"/>
        </w:rPr>
        <w:t>pending</w:t>
      </w:r>
      <w:r>
        <w:rPr>
          <w:color w:val="000000"/>
        </w:rPr>
        <w:t>”</w:t>
      </w:r>
      <w:r>
        <w:rPr>
          <w:color w:val="000000"/>
        </w:rPr>
        <w:t xml:space="preserve"> once they were dismissed. In addition, section VI.A </w:t>
      </w:r>
      <w:r>
        <w:rPr>
          <w:i/>
          <w:iCs/>
          <w:color w:val="000000"/>
        </w:rPr>
        <w:t>permi</w:t>
      </w:r>
      <w:r>
        <w:rPr>
          <w:i/>
          <w:iCs/>
          <w:color w:val="000000"/>
        </w:rPr>
        <w:t>ts</w:t>
      </w:r>
      <w:r>
        <w:rPr>
          <w:color w:val="000000"/>
        </w:rPr>
        <w:t xml:space="preserve"> the exclusion of </w:t>
      </w:r>
      <w:r>
        <w:rPr>
          <w:color w:val="000000"/>
        </w:rPr>
        <w:t>“</w:t>
      </w:r>
      <w:r>
        <w:rPr>
          <w:color w:val="000000"/>
        </w:rPr>
        <w:t>Plaintiffs who dismiss</w:t>
      </w:r>
      <w:r>
        <w:rPr>
          <w:color w:val="000000"/>
        </w:rPr>
        <w:t>”</w:t>
      </w:r>
      <w:r>
        <w:rPr>
          <w:color w:val="000000"/>
        </w:rPr>
        <w:t xml:space="preserve"> from the EPL, but </w:t>
      </w:r>
      <w:r>
        <w:rPr>
          <w:i/>
          <w:iCs/>
          <w:color w:val="000000"/>
        </w:rPr>
        <w:t>requires</w:t>
      </w:r>
      <w:r>
        <w:rPr>
          <w:color w:val="000000"/>
        </w:rPr>
        <w:t xml:space="preserve"> </w:t>
      </w:r>
      <w:bookmarkStart w:id="47" w:name="co_pp_sp_506_124_1"/>
      <w:bookmarkEnd w:id="47"/>
      <w:r>
        <w:rPr>
          <w:b/>
          <w:bCs/>
          <w:color w:val="000000"/>
        </w:rPr>
        <w:t>*124</w:t>
      </w:r>
      <w:r>
        <w:rPr>
          <w:color w:val="000000"/>
        </w:rPr>
        <w:t xml:space="preserve"> their exclusion from the calculation of the Opt</w:t>
      </w:r>
      <w:r>
        <w:rPr>
          <w:color w:val="000000"/>
        </w:rPr>
        <w:t>–</w:t>
      </w:r>
      <w:r>
        <w:rPr>
          <w:color w:val="000000"/>
        </w:rPr>
        <w:t>In Threshold. This seemingly conflicts with Section VI.D.i, which defines the Opt</w:t>
      </w:r>
      <w:r>
        <w:rPr>
          <w:color w:val="000000"/>
        </w:rPr>
        <w:t>–</w:t>
      </w:r>
      <w:r>
        <w:rPr>
          <w:color w:val="000000"/>
        </w:rPr>
        <w:t xml:space="preserve">In Threshold </w:t>
      </w:r>
      <w:r>
        <w:rPr>
          <w:color w:val="000000"/>
        </w:rPr>
        <w:t xml:space="preserve">as </w:t>
      </w:r>
      <w:r>
        <w:rPr>
          <w:color w:val="000000"/>
        </w:rPr>
        <w:t>“</w:t>
      </w:r>
      <w:r>
        <w:rPr>
          <w:color w:val="000000"/>
        </w:rPr>
        <w:t>[a]t least ninety-five percent (95%) of all Primary Plaintiffs on the [EPL].</w:t>
      </w:r>
      <w:r>
        <w:rPr>
          <w:color w:val="000000"/>
        </w:rPr>
        <w:t>”</w:t>
      </w:r>
      <w:r>
        <w:rPr>
          <w:color w:val="000000"/>
        </w:rPr>
        <w:t xml:space="preserve"> Because some plaintiffs may be on the EPL but must be excluded from calculating the Opt</w:t>
      </w:r>
      <w:r>
        <w:rPr>
          <w:color w:val="000000"/>
        </w:rPr>
        <w:t>–</w:t>
      </w:r>
      <w:r>
        <w:rPr>
          <w:color w:val="000000"/>
        </w:rPr>
        <w:t xml:space="preserve">In Threshold, there is some ambiguity about who should be counted when determining </w:t>
      </w:r>
      <w:r>
        <w:rPr>
          <w:color w:val="000000"/>
        </w:rPr>
        <w:t>“</w:t>
      </w:r>
      <w:r>
        <w:rPr>
          <w:color w:val="000000"/>
        </w:rPr>
        <w:t>ac</w:t>
      </w:r>
      <w:r>
        <w:rPr>
          <w:color w:val="000000"/>
        </w:rPr>
        <w:t>tual opt-in experience for purposes of Section VI.D.i.</w:t>
      </w:r>
      <w:r>
        <w:rPr>
          <w:color w:val="000000"/>
        </w:rPr>
        <w:t>”</w:t>
      </w:r>
      <w:r>
        <w:rPr>
          <w:color w:val="000000"/>
        </w:rPr>
        <w:t xml:space="preserve"> That </w:t>
      </w:r>
      <w:r>
        <w:rPr>
          <w:color w:val="000000"/>
        </w:rPr>
        <w:t>“</w:t>
      </w:r>
      <w:r>
        <w:rPr>
          <w:color w:val="000000"/>
        </w:rPr>
        <w:t>actual opt-in experience</w:t>
      </w:r>
      <w:r>
        <w:rPr>
          <w:color w:val="000000"/>
        </w:rPr>
        <w:t>”</w:t>
      </w:r>
      <w:r>
        <w:rPr>
          <w:color w:val="000000"/>
        </w:rPr>
        <w:t xml:space="preserve"> may not be based solely on a stale list of plaintiffs also suggests that the parties intended the Bonus Payment to be based on </w:t>
      </w:r>
      <w:r>
        <w:rPr>
          <w:color w:val="000000"/>
        </w:rPr>
        <w:t>“</w:t>
      </w:r>
      <w:r>
        <w:rPr>
          <w:color w:val="000000"/>
        </w:rPr>
        <w:t>actual</w:t>
      </w:r>
      <w:r>
        <w:rPr>
          <w:color w:val="000000"/>
        </w:rPr>
        <w:t>”</w:t>
      </w:r>
      <w:r>
        <w:rPr>
          <w:color w:val="000000"/>
        </w:rPr>
        <w:t xml:space="preserve"> or live claims.</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Similarly, sec</w:t>
      </w:r>
      <w:r>
        <w:rPr>
          <w:color w:val="000000"/>
        </w:rPr>
        <w:t xml:space="preserve">tion VI.A references </w:t>
      </w:r>
      <w:r>
        <w:rPr>
          <w:color w:val="000000"/>
        </w:rPr>
        <w:t>“</w:t>
      </w:r>
      <w:r>
        <w:rPr>
          <w:color w:val="000000"/>
        </w:rPr>
        <w:t>Plaintiffs who do not opt into the Final Settlement,</w:t>
      </w:r>
      <w:r>
        <w:rPr>
          <w:color w:val="000000"/>
        </w:rPr>
        <w:t>”</w:t>
      </w:r>
      <w:r>
        <w:rPr>
          <w:color w:val="000000"/>
        </w:rPr>
        <w:t xml:space="preserve"> only to provide that counsel’s designation of a plaintiff’s alleged Qualifying Injury on the EPL shall be deemed an admission to an interrogatory. That the Agreement makes evidenti</w:t>
      </w:r>
      <w:r>
        <w:rPr>
          <w:color w:val="000000"/>
        </w:rPr>
        <w:t>ary arrangements for plaintiffs who do not opt in further suggests that the parties may have intended a result not expressly stated: that non-participating plaintiffs would still be able to proceed with their claims. Finally, Section VI.A permits certain p</w:t>
      </w:r>
      <w:r>
        <w:rPr>
          <w:color w:val="000000"/>
        </w:rPr>
        <w:t>laintiffs identified in Exhibit I to be excluded from the calculation of the Opt</w:t>
      </w:r>
      <w:r>
        <w:rPr>
          <w:color w:val="000000"/>
        </w:rPr>
        <w:t>–</w:t>
      </w:r>
      <w:r>
        <w:rPr>
          <w:color w:val="000000"/>
        </w:rPr>
        <w:t xml:space="preserve">In Threshold, but does not require that they </w:t>
      </w:r>
      <w:r>
        <w:rPr>
          <w:color w:val="000000"/>
        </w:rPr>
        <w:t>“</w:t>
      </w:r>
      <w:r>
        <w:rPr>
          <w:color w:val="000000"/>
        </w:rPr>
        <w:t>dismiss ... by filing</w:t>
      </w:r>
      <w:r>
        <w:rPr>
          <w:color w:val="000000"/>
        </w:rPr>
        <w:t>”</w:t>
      </w:r>
      <w:r>
        <w:rPr>
          <w:color w:val="000000"/>
        </w:rPr>
        <w:t xml:space="preserve"> the Exhibit S Stipulation.</w:t>
      </w:r>
      <w:bookmarkStart w:id="48" w:name="co_footnoteReference_B00762033547687_ID0"/>
      <w:bookmarkEnd w:id="48"/>
      <w:r>
        <w:rPr>
          <w:color w:val="000000"/>
          <w:sz w:val="16"/>
          <w:szCs w:val="16"/>
        </w:rPr>
        <w:fldChar w:fldCharType="begin"/>
      </w:r>
      <w:r>
        <w:rPr>
          <w:color w:val="000000"/>
          <w:sz w:val="16"/>
          <w:szCs w:val="16"/>
        </w:rPr>
        <w:instrText>HYPERLINK</w:instrText>
      </w:r>
      <w:r>
        <w:rPr>
          <w:color w:val="000000"/>
          <w:sz w:val="16"/>
          <w:szCs w:val="16"/>
        </w:rPr>
        <w:instrText xml:space="preserve"> "#co_footnote_B00762033547687_1" </w:instrText>
      </w:r>
      <w:r>
        <w:rPr>
          <w:color w:val="000000"/>
          <w:sz w:val="16"/>
          <w:szCs w:val="16"/>
        </w:rPr>
      </w:r>
      <w:r>
        <w:rPr>
          <w:color w:val="000000"/>
          <w:sz w:val="16"/>
          <w:szCs w:val="16"/>
        </w:rPr>
        <w:fldChar w:fldCharType="separate"/>
      </w:r>
      <w:r>
        <w:rPr>
          <w:color w:val="000000"/>
          <w:sz w:val="16"/>
          <w:szCs w:val="16"/>
          <w:vertAlign w:val="superscript"/>
        </w:rPr>
        <w:t>6</w:t>
      </w:r>
      <w:r>
        <w:rPr>
          <w:color w:val="000000"/>
          <w:sz w:val="16"/>
          <w:szCs w:val="16"/>
        </w:rPr>
        <w:fldChar w:fldCharType="end"/>
      </w:r>
      <w:r>
        <w:rPr>
          <w:color w:val="000000"/>
        </w:rPr>
        <w:t xml:space="preserve"> Plaintiffs need only </w:t>
      </w:r>
      <w:r>
        <w:rPr>
          <w:color w:val="000000"/>
        </w:rPr>
        <w:t>“</w:t>
      </w:r>
      <w:r>
        <w:rPr>
          <w:color w:val="000000"/>
        </w:rPr>
        <w:t>dismiss with prejudice all of the claims relating to Qualifying Injuries.</w:t>
      </w:r>
      <w:r>
        <w:rPr>
          <w:color w:val="000000"/>
        </w:rPr>
        <w:t>”</w:t>
      </w:r>
      <w:r>
        <w:rPr>
          <w:color w:val="000000"/>
        </w:rPr>
        <w:t xml:space="preserve"> If the parties intended an involuntary dismissal to be sufficient to exclude an Exhibit I Plaintiff, i</w:t>
      </w:r>
      <w:r>
        <w:rPr>
          <w:color w:val="000000"/>
        </w:rPr>
        <w:t>t may be that they intended such a result for all plaintiffs dismissed with prejudice, regardless of the manner of their dismissal.</w:t>
      </w:r>
    </w:p>
    <w:p w:rsidR="00000000" w:rsidRDefault="002262B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49" w:name="co_footnote_B00762033547687_1"/>
          <w:bookmarkEnd w:id="49"/>
          <w:p w:rsidR="00000000" w:rsidRDefault="002262B3">
            <w:pPr>
              <w:widowControl w:val="0"/>
              <w:autoSpaceDE w:val="0"/>
              <w:autoSpaceDN w:val="0"/>
              <w:adjustRightInd w:val="0"/>
              <w:rPr>
                <w:color w:val="000000"/>
              </w:rPr>
            </w:pPr>
            <w:r>
              <w:rPr>
                <w:color w:val="000000"/>
              </w:rPr>
              <w:fldChar w:fldCharType="begin"/>
            </w:r>
            <w:r>
              <w:rPr>
                <w:color w:val="000000"/>
              </w:rPr>
              <w:instrText>HYPERL</w:instrText>
            </w:r>
            <w:r>
              <w:rPr>
                <w:color w:val="000000"/>
              </w:rPr>
              <w:instrText>INK</w:instrText>
            </w:r>
            <w:r>
              <w:rPr>
                <w:color w:val="000000"/>
              </w:rPr>
              <w:instrText xml:space="preserve"> "#co_footnoteReference_B00762033547687_ID0" </w:instrText>
            </w:r>
            <w:r>
              <w:rPr>
                <w:color w:val="000000"/>
              </w:rPr>
            </w:r>
            <w:r>
              <w:rPr>
                <w:color w:val="000000"/>
              </w:rPr>
              <w:fldChar w:fldCharType="separate"/>
            </w:r>
            <w:r>
              <w:rPr>
                <w:color w:val="000000"/>
                <w:vertAlign w:val="superscript"/>
              </w:rPr>
              <w:t>6</w:t>
            </w:r>
            <w:r>
              <w:rPr>
                <w:color w:val="000000"/>
              </w:rPr>
              <w:fldChar w:fldCharType="end"/>
            </w:r>
          </w:p>
          <w:p w:rsidR="00000000" w:rsidRDefault="002262B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62B3">
            <w:pPr>
              <w:widowControl w:val="0"/>
              <w:autoSpaceDE w:val="0"/>
              <w:autoSpaceDN w:val="0"/>
              <w:adjustRightInd w:val="0"/>
              <w:jc w:val="both"/>
              <w:rPr>
                <w:color w:val="000000"/>
                <w:sz w:val="18"/>
                <w:szCs w:val="18"/>
              </w:rPr>
            </w:pPr>
            <w:r>
              <w:rPr>
                <w:color w:val="000000"/>
                <w:sz w:val="18"/>
                <w:szCs w:val="18"/>
              </w:rPr>
              <w:t xml:space="preserve">Further ambiguity is created because the Exhibit S Stipulation uses the term </w:t>
            </w:r>
            <w:r>
              <w:rPr>
                <w:color w:val="000000"/>
                <w:sz w:val="18"/>
                <w:szCs w:val="18"/>
              </w:rPr>
              <w:t>“</w:t>
            </w:r>
            <w:r>
              <w:rPr>
                <w:color w:val="000000"/>
                <w:sz w:val="18"/>
                <w:szCs w:val="18"/>
              </w:rPr>
              <w:t>voluntarily</w:t>
            </w:r>
            <w:r>
              <w:rPr>
                <w:color w:val="000000"/>
                <w:sz w:val="18"/>
                <w:szCs w:val="18"/>
              </w:rPr>
              <w:t>”</w:t>
            </w:r>
            <w:r>
              <w:rPr>
                <w:color w:val="000000"/>
                <w:sz w:val="18"/>
                <w:szCs w:val="18"/>
              </w:rPr>
              <w:t xml:space="preserve"> even though such term is absent from Section VI.A.</w:t>
            </w:r>
          </w:p>
          <w:p w:rsidR="00000000" w:rsidRDefault="002262B3">
            <w:pPr>
              <w:widowControl w:val="0"/>
              <w:autoSpaceDE w:val="0"/>
              <w:autoSpaceDN w:val="0"/>
              <w:adjustRightInd w:val="0"/>
              <w:jc w:val="both"/>
              <w:rPr>
                <w:color w:val="000000"/>
                <w:sz w:val="18"/>
                <w:szCs w:val="18"/>
              </w:rPr>
            </w:pPr>
          </w:p>
        </w:tc>
      </w:tr>
    </w:tbl>
    <w:p w:rsidR="00000000" w:rsidRDefault="002262B3">
      <w:pPr>
        <w:widowControl w:val="0"/>
        <w:autoSpaceDE w:val="0"/>
        <w:autoSpaceDN w:val="0"/>
        <w:adjustRightInd w:val="0"/>
        <w:jc w:val="both"/>
        <w:rPr>
          <w:color w:val="000000"/>
        </w:rPr>
      </w:pPr>
    </w:p>
    <w:p w:rsidR="00000000" w:rsidRDefault="002262B3">
      <w:pPr>
        <w:widowControl w:val="0"/>
        <w:autoSpaceDE w:val="0"/>
        <w:autoSpaceDN w:val="0"/>
        <w:adjustRightInd w:val="0"/>
        <w:jc w:val="both"/>
        <w:rPr>
          <w:color w:val="000000"/>
        </w:rPr>
      </w:pPr>
      <w:r>
        <w:rPr>
          <w:color w:val="000000"/>
        </w:rPr>
        <w:t>Hence, we conclude that the Agreement is ambiguous as to whether plaintiffs whose claims were involuntaril</w:t>
      </w:r>
      <w:r>
        <w:rPr>
          <w:color w:val="000000"/>
        </w:rPr>
        <w:t xml:space="preserve">y dismissed are to be excluded from the EPL. In light of the surrounding circumstances, reasonable minds could disagree as to whether the phrase </w:t>
      </w:r>
      <w:r>
        <w:rPr>
          <w:color w:val="000000"/>
        </w:rPr>
        <w:t>“</w:t>
      </w:r>
      <w:r>
        <w:rPr>
          <w:color w:val="000000"/>
        </w:rPr>
        <w:t>Plaintiffs who dismiss</w:t>
      </w:r>
      <w:r>
        <w:rPr>
          <w:color w:val="000000"/>
        </w:rPr>
        <w:t>”</w:t>
      </w:r>
      <w:r>
        <w:rPr>
          <w:color w:val="000000"/>
        </w:rPr>
        <w:t xml:space="preserve"> includes </w:t>
      </w:r>
      <w:r>
        <w:rPr>
          <w:color w:val="000000"/>
        </w:rPr>
        <w:t>“</w:t>
      </w:r>
      <w:r>
        <w:rPr>
          <w:color w:val="000000"/>
        </w:rPr>
        <w:t>Plaintiffs who are dismissed.</w:t>
      </w:r>
      <w:r>
        <w:rPr>
          <w:color w:val="000000"/>
        </w:rPr>
        <w:t>”</w:t>
      </w:r>
      <w:r>
        <w:rPr>
          <w:color w:val="000000"/>
        </w:rPr>
        <w:t xml:space="preserve"> We remand for the district court to consider </w:t>
      </w:r>
      <w:r>
        <w:rPr>
          <w:color w:val="000000"/>
        </w:rPr>
        <w:t xml:space="preserve">extrinsic evidence of the parties’ intent. </w:t>
      </w:r>
      <w:r>
        <w:rPr>
          <w:i/>
          <w:iCs/>
          <w:color w:val="000000"/>
        </w:rPr>
        <w:t xml:space="preserve">See </w:t>
      </w:r>
      <w:hyperlink r:id="rId75" w:history="1">
        <w:r>
          <w:rPr>
            <w:i/>
            <w:iCs/>
            <w:color w:val="000000"/>
          </w:rPr>
          <w:t>City of Yonkers,</w:t>
        </w:r>
        <w:r>
          <w:rPr>
            <w:color w:val="000000"/>
          </w:rPr>
          <w:t xml:space="preserve"> 844 F.2d at 46</w:t>
        </w:r>
      </w:hyperlink>
      <w:r>
        <w:rPr>
          <w:color w:val="000000"/>
        </w:rPr>
        <w:t xml:space="preserve">; </w:t>
      </w:r>
      <w:hyperlink r:id="rId76" w:history="1">
        <w:r>
          <w:rPr>
            <w:i/>
            <w:iCs/>
            <w:color w:val="000000"/>
          </w:rPr>
          <w:t>Scholastic Inc. v. Harris,</w:t>
        </w:r>
        <w:r>
          <w:rPr>
            <w:color w:val="000000"/>
          </w:rPr>
          <w:t xml:space="preserve"> 259 F.3d 73, 82 (2d Cir.2001)</w:t>
        </w:r>
      </w:hyperlink>
      <w:r>
        <w:rPr>
          <w:color w:val="000000"/>
        </w:rPr>
        <w:t xml:space="preserve"> (</w:t>
      </w:r>
      <w:r>
        <w:rPr>
          <w:color w:val="000000"/>
        </w:rPr>
        <w:t>“</w:t>
      </w:r>
      <w:r>
        <w:rPr>
          <w:color w:val="000000"/>
        </w:rPr>
        <w:t>When the terms of a contract are ambiguous, reasonably subject to differing interpretations, a court may turn to evidence extrinsic to the agreement’s four corners to ascertain the intent of the parties.</w:t>
      </w:r>
      <w:r>
        <w:rPr>
          <w:color w:val="000000"/>
        </w:rPr>
        <w:t>”</w:t>
      </w:r>
      <w:r>
        <w:rPr>
          <w:color w:val="000000"/>
        </w:rPr>
        <w:t>). On remand, if the district court deter</w:t>
      </w:r>
      <w:r>
        <w:rPr>
          <w:color w:val="000000"/>
        </w:rPr>
        <w:t>mines that the parties had an understanding as to the treatment of plaintiffs whose claims were involuntarily dismissed, it must give effect to that understanding. If the district court finds that the parties never considered the treatment of involuntary d</w:t>
      </w:r>
      <w:r>
        <w:rPr>
          <w:color w:val="000000"/>
        </w:rPr>
        <w:t>ismissals, then it may, if consistent with contract principles, imply a term</w:t>
      </w:r>
      <w:r>
        <w:rPr>
          <w:color w:val="000000"/>
        </w:rPr>
        <w:t>—</w:t>
      </w:r>
      <w:r>
        <w:rPr>
          <w:color w:val="000000"/>
        </w:rPr>
        <w:t xml:space="preserve">but only if one </w:t>
      </w:r>
      <w:r>
        <w:rPr>
          <w:color w:val="000000"/>
        </w:rPr>
        <w:t>“</w:t>
      </w:r>
      <w:r>
        <w:rPr>
          <w:color w:val="000000"/>
        </w:rPr>
        <w:t>may be fairly and reasonably fixed by the surrounding circumstances and the parties’ intent.</w:t>
      </w:r>
      <w:r>
        <w:rPr>
          <w:color w:val="000000"/>
        </w:rPr>
        <w:t>”</w:t>
      </w:r>
      <w:r>
        <w:rPr>
          <w:color w:val="000000"/>
        </w:rPr>
        <w:t xml:space="preserve"> </w:t>
      </w:r>
      <w:hyperlink r:id="rId77" w:history="1">
        <w:r>
          <w:rPr>
            <w:i/>
            <w:iCs/>
            <w:color w:val="000000"/>
          </w:rPr>
          <w:t>Haines,</w:t>
        </w:r>
        <w:r>
          <w:rPr>
            <w:color w:val="000000"/>
          </w:rPr>
          <w:t xml:space="preserve"> 41 N.Y.2d at 772, 396 N.Y.S.2d 155, 364 N.E</w:t>
        </w:r>
        <w:r>
          <w:rPr>
            <w:color w:val="000000"/>
          </w:rPr>
          <w:t>.2d 820</w:t>
        </w:r>
      </w:hyperlink>
      <w:r>
        <w:rPr>
          <w:color w:val="000000"/>
        </w:rPr>
        <w: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50" w:name="co_anchor_Ic488eb47453811e498db8b09b4f04"/>
      <w:bookmarkEnd w:id="50"/>
    </w:p>
    <w:p w:rsidR="00000000" w:rsidRDefault="002262B3">
      <w:pPr>
        <w:widowControl w:val="0"/>
        <w:autoSpaceDE w:val="0"/>
        <w:autoSpaceDN w:val="0"/>
        <w:adjustRightInd w:val="0"/>
        <w:spacing w:before="200"/>
        <w:rPr>
          <w:b/>
          <w:bCs/>
          <w:i/>
          <w:iCs/>
          <w:color w:val="000000"/>
        </w:rPr>
      </w:pPr>
      <w:r>
        <w:rPr>
          <w:b/>
          <w:bCs/>
          <w:color w:val="000000"/>
        </w:rPr>
        <w:t xml:space="preserve">B. </w:t>
      </w:r>
      <w:r>
        <w:rPr>
          <w:b/>
          <w:bCs/>
          <w:i/>
          <w:iCs/>
          <w:color w:val="000000"/>
        </w:rPr>
        <w:t>Contingent Payments</w:t>
      </w:r>
    </w:p>
    <w:p w:rsidR="00000000" w:rsidRDefault="002262B3">
      <w:pPr>
        <w:widowControl w:val="0"/>
        <w:autoSpaceDE w:val="0"/>
        <w:autoSpaceDN w:val="0"/>
        <w:adjustRightInd w:val="0"/>
        <w:jc w:val="both"/>
        <w:rPr>
          <w:color w:val="000000"/>
        </w:rPr>
      </w:pPr>
      <w:hyperlink r:id="rId78" w:history="1">
        <w:r>
          <w:rPr>
            <w:b/>
            <w:bCs/>
            <w:color w:val="000000"/>
            <w:vertAlign w:val="superscript"/>
          </w:rPr>
          <w:t>[14]</w:t>
        </w:r>
      </w:hyperlink>
      <w:bookmarkStart w:id="51" w:name="co_anchor_B142033547687_1"/>
      <w:bookmarkEnd w:id="51"/>
      <w:r>
        <w:rPr>
          <w:color w:val="000000"/>
        </w:rPr>
        <w:t xml:space="preserve"> The Agreement provided </w:t>
      </w:r>
      <w:r>
        <w:rPr>
          <w:color w:val="000000"/>
        </w:rPr>
        <w:t xml:space="preserve">that defendants would be obligated to pay a Contingent Payment if fewer than 220 </w:t>
      </w:r>
      <w:r>
        <w:rPr>
          <w:color w:val="000000"/>
        </w:rPr>
        <w:t>“</w:t>
      </w:r>
      <w:r>
        <w:rPr>
          <w:color w:val="000000"/>
        </w:rPr>
        <w:t>New Debris Removal Claims</w:t>
      </w:r>
      <w:r>
        <w:rPr>
          <w:color w:val="000000"/>
        </w:rPr>
        <w:t>”</w:t>
      </w:r>
      <w:r>
        <w:rPr>
          <w:color w:val="000000"/>
        </w:rPr>
        <w:t xml:space="preserve"> were </w:t>
      </w:r>
      <w:r>
        <w:rPr>
          <w:color w:val="000000"/>
        </w:rPr>
        <w:t>“</w:t>
      </w:r>
      <w:r>
        <w:rPr>
          <w:color w:val="000000"/>
        </w:rPr>
        <w:t>filed or submitted</w:t>
      </w:r>
      <w:r>
        <w:rPr>
          <w:color w:val="000000"/>
        </w:rPr>
        <w:t>”</w:t>
      </w:r>
      <w:r>
        <w:rPr>
          <w:color w:val="000000"/>
        </w:rPr>
        <w:t xml:space="preserve"> to the City </w:t>
      </w:r>
      <w:r>
        <w:rPr>
          <w:color w:val="000000"/>
        </w:rPr>
        <w:t>“</w:t>
      </w:r>
      <w:r>
        <w:rPr>
          <w:color w:val="000000"/>
        </w:rPr>
        <w:t>as of</w:t>
      </w:r>
      <w:r>
        <w:rPr>
          <w:color w:val="000000"/>
        </w:rPr>
        <w:t>”</w:t>
      </w:r>
      <w:r>
        <w:rPr>
          <w:color w:val="000000"/>
        </w:rPr>
        <w:t xml:space="preserve"> certain Contingent Payment Determination Dates, the first being January 5, 2012. Between April 13, 20</w:t>
      </w:r>
      <w:r>
        <w:rPr>
          <w:color w:val="000000"/>
        </w:rPr>
        <w:t xml:space="preserve">10 (the effective date of the Agreement) and January 5, 2012, some 260 such claims were filed. Most of the claims were dismissed, however, leaving only 84 claims pending as of January 5, 2012. The district court held that </w:t>
      </w:r>
      <w:r>
        <w:rPr>
          <w:color w:val="000000"/>
        </w:rPr>
        <w:t>“</w:t>
      </w:r>
      <w:r>
        <w:rPr>
          <w:color w:val="000000"/>
        </w:rPr>
        <w:t>the critical date for counting ne</w:t>
      </w:r>
      <w:r>
        <w:rPr>
          <w:color w:val="000000"/>
        </w:rPr>
        <w:t xml:space="preserve">wly filed or submitted </w:t>
      </w:r>
      <w:bookmarkStart w:id="52" w:name="co_pp_sp_506_125_1"/>
      <w:bookmarkEnd w:id="52"/>
      <w:r>
        <w:rPr>
          <w:b/>
          <w:bCs/>
          <w:color w:val="000000"/>
        </w:rPr>
        <w:t>*125</w:t>
      </w:r>
      <w:r>
        <w:rPr>
          <w:color w:val="000000"/>
        </w:rPr>
        <w:t xml:space="preserve"> claims was January 5, 2012,</w:t>
      </w:r>
      <w:r>
        <w:rPr>
          <w:color w:val="000000"/>
        </w:rPr>
        <w:t>”</w:t>
      </w:r>
      <w:r>
        <w:rPr>
          <w:color w:val="000000"/>
        </w:rPr>
        <w:t xml:space="preserve"> and concluded that the withdrawn claims were not to be counted. The district court therefore counted only the 84 claims pending as of January 5, 2012, and held tha</w:t>
      </w:r>
      <w:r>
        <w:rPr>
          <w:color w:val="000000"/>
        </w:rPr>
        <w:t>t the First Contingent Payment was triggered.</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We conclude that the </w:t>
      </w:r>
      <w:r>
        <w:rPr>
          <w:color w:val="000000"/>
        </w:rPr>
        <w:t xml:space="preserve">district court erred, for there is no ambiguity in the Agreement with respect to Contingent Payments. The Contingent Payments provision plainly provides that the key was the number of new claims </w:t>
      </w:r>
      <w:r>
        <w:rPr>
          <w:color w:val="000000"/>
        </w:rPr>
        <w:t>“</w:t>
      </w:r>
      <w:r>
        <w:rPr>
          <w:color w:val="000000"/>
        </w:rPr>
        <w:t>filed or submitted</w:t>
      </w:r>
      <w:r>
        <w:rPr>
          <w:color w:val="000000"/>
        </w:rPr>
        <w:t>”</w:t>
      </w:r>
      <w:r>
        <w:rPr>
          <w:color w:val="000000"/>
        </w:rPr>
        <w:t xml:space="preserve"> as of January 5, 2012. The Agreement exp</w:t>
      </w:r>
      <w:r>
        <w:rPr>
          <w:color w:val="000000"/>
        </w:rPr>
        <w:t xml:space="preserve">ressly defines </w:t>
      </w:r>
      <w:r>
        <w:rPr>
          <w:color w:val="000000"/>
        </w:rPr>
        <w:t>“</w:t>
      </w:r>
      <w:r>
        <w:rPr>
          <w:color w:val="000000"/>
        </w:rPr>
        <w:t>New Debris Removal Claims</w:t>
      </w:r>
      <w:r>
        <w:rPr>
          <w:color w:val="000000"/>
        </w:rPr>
        <w:t>”</w:t>
      </w:r>
      <w:r>
        <w:rPr>
          <w:color w:val="000000"/>
        </w:rPr>
        <w:t xml:space="preserve"> as those that have been </w:t>
      </w:r>
      <w:r>
        <w:rPr>
          <w:color w:val="000000"/>
        </w:rPr>
        <w:t>“</w:t>
      </w:r>
      <w:r>
        <w:rPr>
          <w:color w:val="000000"/>
        </w:rPr>
        <w:t>filed,</w:t>
      </w:r>
      <w:r>
        <w:rPr>
          <w:color w:val="000000"/>
        </w:rPr>
        <w:t>”</w:t>
      </w:r>
      <w:r>
        <w:rPr>
          <w:color w:val="000000"/>
        </w:rPr>
        <w:t xml:space="preserve"> </w:t>
      </w:r>
      <w:r>
        <w:rPr>
          <w:color w:val="000000"/>
        </w:rPr>
        <w:t>“</w:t>
      </w:r>
      <w:r>
        <w:rPr>
          <w:color w:val="000000"/>
        </w:rPr>
        <w:t>asserted,</w:t>
      </w:r>
      <w:r>
        <w:rPr>
          <w:color w:val="000000"/>
        </w:rPr>
        <w:t>”</w:t>
      </w:r>
      <w:r>
        <w:rPr>
          <w:color w:val="000000"/>
        </w:rPr>
        <w:t xml:space="preserve"> or </w:t>
      </w:r>
      <w:r>
        <w:rPr>
          <w:color w:val="000000"/>
        </w:rPr>
        <w:t>“</w:t>
      </w:r>
      <w:r>
        <w:rPr>
          <w:color w:val="000000"/>
        </w:rPr>
        <w:t>served.</w:t>
      </w:r>
      <w:r>
        <w:rPr>
          <w:color w:val="000000"/>
        </w:rPr>
        <w:t>”</w:t>
      </w:r>
      <w:r>
        <w:rPr>
          <w:color w:val="000000"/>
        </w:rPr>
        <w:t xml:space="preserve"> Neither the Contingent Payments provision nor the definition of </w:t>
      </w:r>
      <w:r>
        <w:rPr>
          <w:color w:val="000000"/>
        </w:rPr>
        <w:t>“</w:t>
      </w:r>
      <w:r>
        <w:rPr>
          <w:color w:val="000000"/>
        </w:rPr>
        <w:t>New Debris Removal Claims</w:t>
      </w:r>
      <w:r>
        <w:rPr>
          <w:color w:val="000000"/>
        </w:rPr>
        <w:t>”</w:t>
      </w:r>
      <w:r>
        <w:rPr>
          <w:color w:val="000000"/>
        </w:rPr>
        <w:t xml:space="preserve"> uses the word </w:t>
      </w:r>
      <w:r>
        <w:rPr>
          <w:color w:val="000000"/>
        </w:rPr>
        <w:t>“</w:t>
      </w:r>
      <w:r>
        <w:rPr>
          <w:color w:val="000000"/>
        </w:rPr>
        <w:t>pending</w:t>
      </w:r>
      <w:r>
        <w:rPr>
          <w:color w:val="000000"/>
        </w:rPr>
        <w:t>”</w:t>
      </w:r>
      <w:r>
        <w:rPr>
          <w:color w:val="000000"/>
        </w:rPr>
        <w:t xml:space="preserve"> or any words equivalent thereto. </w:t>
      </w:r>
      <w:r>
        <w:rPr>
          <w:i/>
          <w:iCs/>
          <w:color w:val="000000"/>
        </w:rPr>
        <w:t xml:space="preserve">See </w:t>
      </w:r>
      <w:hyperlink r:id="rId79" w:history="1">
        <w:r>
          <w:rPr>
            <w:i/>
            <w:iCs/>
            <w:color w:val="000000"/>
          </w:rPr>
          <w:t>Greenfield,</w:t>
        </w:r>
        <w:r>
          <w:rPr>
            <w:color w:val="000000"/>
          </w:rPr>
          <w:t xml:space="preserve"> 98 N.Y.2d at 569, 750 N.Y.S.2d 565, 780 N.E.2d 166</w:t>
        </w:r>
      </w:hyperlink>
      <w:r>
        <w:rPr>
          <w:color w:val="000000"/>
        </w:rPr>
        <w:t xml:space="preserve"> (</w:t>
      </w:r>
      <w:r>
        <w:rPr>
          <w:color w:val="000000"/>
        </w:rPr>
        <w:t>“</w:t>
      </w:r>
      <w:r>
        <w:rPr>
          <w:color w:val="000000"/>
        </w:rPr>
        <w:t>[A] written agreement that is complete, clear and unambiguous on its face must be enforced according to the plain meaning of its terms.</w:t>
      </w:r>
      <w:r>
        <w:rPr>
          <w:color w:val="000000"/>
        </w:rPr>
        <w:t>”</w:t>
      </w:r>
      <w:r>
        <w:rPr>
          <w:color w:val="000000"/>
        </w:rPr>
        <w:t xml:space="preserve">) (internal quotation marks </w:t>
      </w:r>
      <w:r>
        <w:rPr>
          <w:color w:val="000000"/>
        </w:rPr>
        <w:t>and citation omitted).</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In concluding that only pending claims were to be counted, the district court wrote:</w:t>
      </w:r>
    </w:p>
    <w:p w:rsidR="00000000" w:rsidRDefault="002262B3">
      <w:pPr>
        <w:widowControl w:val="0"/>
        <w:autoSpaceDE w:val="0"/>
        <w:autoSpaceDN w:val="0"/>
        <w:adjustRightInd w:val="0"/>
        <w:spacing w:before="250" w:after="50"/>
        <w:ind w:left="1000" w:right="800"/>
        <w:jc w:val="both"/>
        <w:rPr>
          <w:color w:val="000000"/>
        </w:rPr>
      </w:pPr>
      <w:r>
        <w:rPr>
          <w:color w:val="000000"/>
        </w:rPr>
        <w:t xml:space="preserve">[A] claim that was withdrawn or dismissed on the merits prior to the critical date ... is not a claim to be counted. It may be found in the file, </w:t>
      </w:r>
      <w:r>
        <w:rPr>
          <w:color w:val="000000"/>
        </w:rPr>
        <w:t>but it is no longer a claim to be reckoned with. The dismissed claim perhaps may have historical interest, but it is no longer of practical interest to parties or litigants. The claim died with its dismissal, for a dismissed claim on the merits</w:t>
      </w:r>
      <w:r>
        <w:rPr>
          <w:color w:val="000000"/>
        </w:rPr>
        <w:t>—</w:t>
      </w:r>
      <w:r>
        <w:rPr>
          <w:color w:val="000000"/>
        </w:rPr>
        <w:t>and all the</w:t>
      </w:r>
      <w:r>
        <w:rPr>
          <w:color w:val="000000"/>
        </w:rPr>
        <w:t xml:space="preserve"> dismissed claims were dismissed with prejudice</w:t>
      </w:r>
      <w:r>
        <w:rPr>
          <w:color w:val="000000"/>
        </w:rPr>
        <w:t>—</w:t>
      </w:r>
      <w:r>
        <w:rPr>
          <w:color w:val="000000"/>
        </w:rPr>
        <w:t>cannot be brought again. Since it is no longer a live claim, the WTC Captive is wrong to count it as such.</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sz w:val="16"/>
          <w:szCs w:val="16"/>
        </w:rPr>
      </w:pPr>
      <w:r>
        <w:rPr>
          <w:color w:val="000000"/>
        </w:rPr>
        <w:t>Of course, there is some logic to the district court’s reasoning, but the district court was not fr</w:t>
      </w:r>
      <w:r>
        <w:rPr>
          <w:color w:val="000000"/>
        </w:rPr>
        <w:t xml:space="preserve">ee to substitute its own reasoning or </w:t>
      </w:r>
      <w:r>
        <w:rPr>
          <w:color w:val="000000"/>
        </w:rPr>
        <w:t>“</w:t>
      </w:r>
      <w:r>
        <w:rPr>
          <w:color w:val="000000"/>
        </w:rPr>
        <w:t>personal notions of fairness</w:t>
      </w:r>
      <w:r>
        <w:rPr>
          <w:color w:val="000000"/>
        </w:rPr>
        <w:t>”</w:t>
      </w:r>
      <w:r>
        <w:rPr>
          <w:color w:val="000000"/>
        </w:rPr>
        <w:t xml:space="preserve"> for the intent of the parties. </w:t>
      </w:r>
      <w:hyperlink r:id="rId80" w:history="1">
        <w:r>
          <w:rPr>
            <w:i/>
            <w:iCs/>
            <w:color w:val="000000"/>
          </w:rPr>
          <w:t>Welsbach Elec.,</w:t>
        </w:r>
        <w:r>
          <w:rPr>
            <w:color w:val="000000"/>
          </w:rPr>
          <w:t xml:space="preserve"> 7 N.Y.3d at 629, 825 N.Y.S.2d 692, 859 N.E.2d 498</w:t>
        </w:r>
      </w:hyperlink>
      <w:r>
        <w:rPr>
          <w:color w:val="000000"/>
        </w:rPr>
        <w:t xml:space="preserve">. If the parties had intended to count only claims </w:t>
      </w:r>
      <w:r>
        <w:rPr>
          <w:color w:val="000000"/>
        </w:rPr>
        <w:t>“</w:t>
      </w:r>
      <w:r>
        <w:rPr>
          <w:color w:val="000000"/>
        </w:rPr>
        <w:t>pending</w:t>
      </w:r>
      <w:r>
        <w:rPr>
          <w:color w:val="000000"/>
        </w:rPr>
        <w:t>”</w:t>
      </w:r>
      <w:r>
        <w:rPr>
          <w:color w:val="000000"/>
        </w:rPr>
        <w:t xml:space="preserve"> a</w:t>
      </w:r>
      <w:r>
        <w:rPr>
          <w:color w:val="000000"/>
        </w:rPr>
        <w:t xml:space="preserve">s of the trigger dates, they would have so provided; instead, they referenced claims </w:t>
      </w:r>
      <w:r>
        <w:rPr>
          <w:color w:val="000000"/>
        </w:rPr>
        <w:t>“</w:t>
      </w:r>
      <w:r>
        <w:rPr>
          <w:color w:val="000000"/>
        </w:rPr>
        <w:t>filed or submitted</w:t>
      </w:r>
      <w:r>
        <w:rPr>
          <w:color w:val="000000"/>
        </w:rPr>
        <w:t>”</w:t>
      </w:r>
      <w:r>
        <w:rPr>
          <w:color w:val="000000"/>
        </w:rPr>
        <w:t xml:space="preserve"> as of the trigger dates.</w:t>
      </w:r>
      <w:bookmarkStart w:id="53" w:name="co_footnoteReference_B00872033547687_ID0"/>
      <w:bookmarkEnd w:id="53"/>
      <w:r>
        <w:rPr>
          <w:color w:val="000000"/>
          <w:sz w:val="16"/>
          <w:szCs w:val="16"/>
        </w:rPr>
        <w:fldChar w:fldCharType="begin"/>
      </w:r>
      <w:r>
        <w:rPr>
          <w:color w:val="000000"/>
          <w:sz w:val="16"/>
          <w:szCs w:val="16"/>
        </w:rPr>
        <w:instrText>HYPERLINK</w:instrText>
      </w:r>
      <w:r>
        <w:rPr>
          <w:color w:val="000000"/>
          <w:sz w:val="16"/>
          <w:szCs w:val="16"/>
        </w:rPr>
        <w:instrText xml:space="preserve"> "#co_footnote_B00872033547687_1" </w:instrText>
      </w:r>
      <w:r>
        <w:rPr>
          <w:color w:val="000000"/>
          <w:sz w:val="16"/>
          <w:szCs w:val="16"/>
        </w:rPr>
      </w:r>
      <w:r>
        <w:rPr>
          <w:color w:val="000000"/>
          <w:sz w:val="16"/>
          <w:szCs w:val="16"/>
        </w:rPr>
        <w:fldChar w:fldCharType="separate"/>
      </w:r>
      <w:r>
        <w:rPr>
          <w:color w:val="000000"/>
          <w:sz w:val="16"/>
          <w:szCs w:val="16"/>
          <w:vertAlign w:val="superscript"/>
        </w:rPr>
        <w:t>7</w:t>
      </w:r>
      <w:r>
        <w:rPr>
          <w:color w:val="000000"/>
          <w:sz w:val="16"/>
          <w:szCs w:val="16"/>
        </w:rPr>
        <w:fldChar w:fldCharType="end"/>
      </w:r>
    </w:p>
    <w:p w:rsidR="00000000" w:rsidRDefault="002262B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54" w:name="co_footnote_B00872033547687_1"/>
          <w:bookmarkEnd w:id="54"/>
          <w:p w:rsidR="00000000" w:rsidRDefault="002262B3">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"#co_footnoteReference_B00872033547687_ID0" </w:instrText>
            </w:r>
            <w:r>
              <w:rPr>
                <w:color w:val="000000"/>
              </w:rPr>
            </w:r>
            <w:r>
              <w:rPr>
                <w:color w:val="000000"/>
              </w:rPr>
              <w:fldChar w:fldCharType="separate"/>
            </w:r>
            <w:r>
              <w:rPr>
                <w:color w:val="000000"/>
                <w:vertAlign w:val="superscript"/>
              </w:rPr>
              <w:t>7</w:t>
            </w:r>
            <w:r>
              <w:rPr>
                <w:color w:val="000000"/>
              </w:rPr>
              <w:fldChar w:fldCharType="end"/>
            </w:r>
          </w:p>
          <w:p w:rsidR="00000000" w:rsidRDefault="002262B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62B3">
            <w:pPr>
              <w:widowControl w:val="0"/>
              <w:autoSpaceDE w:val="0"/>
              <w:autoSpaceDN w:val="0"/>
              <w:adjustRightInd w:val="0"/>
              <w:jc w:val="both"/>
              <w:rPr>
                <w:color w:val="000000"/>
                <w:sz w:val="18"/>
                <w:szCs w:val="18"/>
              </w:rPr>
            </w:pPr>
            <w:r>
              <w:rPr>
                <w:color w:val="000000"/>
                <w:sz w:val="18"/>
                <w:szCs w:val="18"/>
              </w:rPr>
              <w:t>Although not dispositive, it is worth nothing that plaintiffs’ counsel apparently agreed initially with defendants t</w:t>
            </w:r>
            <w:r>
              <w:rPr>
                <w:color w:val="000000"/>
                <w:sz w:val="18"/>
                <w:szCs w:val="18"/>
              </w:rPr>
              <w:t xml:space="preserve">hat no Contingent Payment was due. Indeed, the parties initially operated under the assumption that the first Contingent Payment had not been triggered, and it was only after the district court </w:t>
            </w:r>
            <w:r>
              <w:rPr>
                <w:i/>
                <w:iCs/>
                <w:color w:val="000000"/>
                <w:sz w:val="18"/>
                <w:szCs w:val="18"/>
              </w:rPr>
              <w:t>sua sponte</w:t>
            </w:r>
            <w:r>
              <w:rPr>
                <w:color w:val="000000"/>
                <w:sz w:val="18"/>
                <w:szCs w:val="18"/>
              </w:rPr>
              <w:t xml:space="preserve"> raised the issue that plaintiffs took the contrary </w:t>
            </w:r>
            <w:r>
              <w:rPr>
                <w:color w:val="000000"/>
                <w:sz w:val="18"/>
                <w:szCs w:val="18"/>
              </w:rPr>
              <w:t>position.</w:t>
            </w:r>
          </w:p>
          <w:p w:rsidR="00000000" w:rsidRDefault="002262B3">
            <w:pPr>
              <w:widowControl w:val="0"/>
              <w:autoSpaceDE w:val="0"/>
              <w:autoSpaceDN w:val="0"/>
              <w:adjustRightInd w:val="0"/>
              <w:jc w:val="both"/>
              <w:rPr>
                <w:color w:val="000000"/>
                <w:sz w:val="18"/>
                <w:szCs w:val="18"/>
              </w:rPr>
            </w:pPr>
          </w:p>
        </w:tc>
      </w:tr>
    </w:tbl>
    <w:p w:rsidR="00000000" w:rsidRDefault="002262B3">
      <w:pPr>
        <w:widowControl w:val="0"/>
        <w:autoSpaceDE w:val="0"/>
        <w:autoSpaceDN w:val="0"/>
        <w:adjustRightInd w:val="0"/>
        <w:jc w:val="both"/>
        <w:rPr>
          <w:color w:val="000000"/>
        </w:rPr>
      </w:pPr>
    </w:p>
    <w:p w:rsidR="00000000" w:rsidRDefault="002262B3">
      <w:pPr>
        <w:widowControl w:val="0"/>
        <w:autoSpaceDE w:val="0"/>
        <w:autoSpaceDN w:val="0"/>
        <w:adjustRightInd w:val="0"/>
        <w:jc w:val="both"/>
        <w:rPr>
          <w:color w:val="000000"/>
        </w:rPr>
      </w:pPr>
      <w:r>
        <w:rPr>
          <w:color w:val="000000"/>
        </w:rPr>
        <w:t>In sum, we hold that the district court erred in ordering defendants to make the First Contingent Payment. We therefore reverse in this respect.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55" w:name="co_anchor_Ic488eb48453811e498db8b09b4f04"/>
      <w:bookmarkEnd w:id="55"/>
    </w:p>
    <w:p w:rsidR="00000000" w:rsidRDefault="002262B3">
      <w:pPr>
        <w:widowControl w:val="0"/>
        <w:autoSpaceDE w:val="0"/>
        <w:autoSpaceDN w:val="0"/>
        <w:adjustRightInd w:val="0"/>
        <w:spacing w:before="200"/>
        <w:rPr>
          <w:b/>
          <w:bCs/>
          <w:i/>
          <w:iCs/>
          <w:color w:val="000000"/>
        </w:rPr>
      </w:pPr>
      <w:r>
        <w:rPr>
          <w:b/>
          <w:bCs/>
          <w:color w:val="000000"/>
        </w:rPr>
        <w:t xml:space="preserve">C. </w:t>
      </w:r>
      <w:r>
        <w:rPr>
          <w:b/>
          <w:bCs/>
          <w:i/>
          <w:iCs/>
          <w:color w:val="000000"/>
        </w:rPr>
        <w:t>Attorneys’</w:t>
      </w:r>
      <w:r>
        <w:rPr>
          <w:b/>
          <w:bCs/>
          <w:i/>
          <w:iCs/>
          <w:color w:val="000000"/>
        </w:rPr>
        <w:t xml:space="preserve"> Fees</w:t>
      </w:r>
    </w:p>
    <w:p w:rsidR="00000000" w:rsidRDefault="002262B3">
      <w:pPr>
        <w:widowControl w:val="0"/>
        <w:autoSpaceDE w:val="0"/>
        <w:autoSpaceDN w:val="0"/>
        <w:adjustRightInd w:val="0"/>
        <w:jc w:val="both"/>
        <w:rPr>
          <w:color w:val="000000"/>
        </w:rPr>
      </w:pPr>
      <w:r>
        <w:rPr>
          <w:color w:val="000000"/>
        </w:rPr>
        <w:t>Finally, we turn to the district court’s decision to bar plaintiffs’ counsel from collecting fees with respect to the Bonus and Contingent Payments.</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56" w:name="co_anchor_Ic488eb49453811e498db8b09b4f04"/>
      <w:bookmarkEnd w:id="56"/>
    </w:p>
    <w:p w:rsidR="00000000" w:rsidRDefault="002262B3">
      <w:pPr>
        <w:widowControl w:val="0"/>
        <w:autoSpaceDE w:val="0"/>
        <w:autoSpaceDN w:val="0"/>
        <w:adjustRightInd w:val="0"/>
        <w:spacing w:before="200"/>
        <w:ind w:left="200"/>
        <w:rPr>
          <w:b/>
          <w:bCs/>
          <w:i/>
          <w:iCs/>
          <w:color w:val="000000"/>
        </w:rPr>
      </w:pPr>
      <w:r>
        <w:rPr>
          <w:b/>
          <w:bCs/>
          <w:color w:val="000000"/>
        </w:rPr>
        <w:t xml:space="preserve">i. </w:t>
      </w:r>
      <w:r>
        <w:rPr>
          <w:b/>
          <w:bCs/>
          <w:i/>
          <w:iCs/>
          <w:color w:val="000000"/>
        </w:rPr>
        <w:t>Applicable Law</w:t>
      </w:r>
    </w:p>
    <w:p w:rsidR="00000000" w:rsidRDefault="002262B3">
      <w:pPr>
        <w:widowControl w:val="0"/>
        <w:autoSpaceDE w:val="0"/>
        <w:autoSpaceDN w:val="0"/>
        <w:adjustRightInd w:val="0"/>
        <w:jc w:val="both"/>
        <w:rPr>
          <w:color w:val="000000"/>
          <w:sz w:val="16"/>
          <w:szCs w:val="16"/>
        </w:rPr>
      </w:pPr>
      <w:hyperlink r:id="rId81" w:history="1">
        <w:r>
          <w:rPr>
            <w:b/>
            <w:bCs/>
            <w:color w:val="000000"/>
            <w:vertAlign w:val="superscript"/>
          </w:rPr>
          <w:t>[15]</w:t>
        </w:r>
      </w:hyperlink>
      <w:bookmarkStart w:id="57" w:name="co_anchor_B152033547687_1"/>
      <w:bookmarkEnd w:id="57"/>
      <w:r>
        <w:rPr>
          <w:color w:val="000000"/>
        </w:rPr>
        <w:t xml:space="preserve"> </w:t>
      </w:r>
      <w:hyperlink r:id="rId82" w:history="1">
        <w:r>
          <w:rPr>
            <w:b/>
            <w:bCs/>
            <w:color w:val="000000"/>
            <w:vertAlign w:val="superscript"/>
          </w:rPr>
          <w:t>[16]</w:t>
        </w:r>
      </w:hyperlink>
      <w:bookmarkStart w:id="58" w:name="co_anchor_B162033547687_1"/>
      <w:bookmarkEnd w:id="58"/>
      <w:r>
        <w:rPr>
          <w:color w:val="000000"/>
        </w:rPr>
        <w:t xml:space="preserve"> Federal courts have supervisory power over a</w:t>
      </w:r>
      <w:r>
        <w:rPr>
          <w:color w:val="000000"/>
        </w:rPr>
        <w:t xml:space="preserve">ttorneys’ fee arrangements. </w:t>
      </w:r>
      <w:hyperlink r:id="rId83" w:history="1">
        <w:r>
          <w:rPr>
            <w:i/>
            <w:iCs/>
            <w:color w:val="000000"/>
          </w:rPr>
          <w:t>In re Agent Orange Prod. Liab. Litig.,</w:t>
        </w:r>
        <w:r>
          <w:rPr>
            <w:color w:val="000000"/>
          </w:rPr>
          <w:t xml:space="preserve"> 818 F.2d 226, 240 (2d Cir.1987)</w:t>
        </w:r>
      </w:hyperlink>
      <w:r>
        <w:rPr>
          <w:color w:val="000000"/>
        </w:rPr>
        <w:t xml:space="preserve">; </w:t>
      </w:r>
      <w:r>
        <w:rPr>
          <w:i/>
          <w:iCs/>
          <w:color w:val="000000"/>
        </w:rPr>
        <w:t xml:space="preserve">see </w:t>
      </w:r>
      <w:hyperlink r:id="rId84" w:history="1">
        <w:r>
          <w:rPr>
            <w:i/>
            <w:iCs/>
            <w:color w:val="000000"/>
          </w:rPr>
          <w:t>Alderman v. Pan Am World Airways</w:t>
        </w:r>
        <w:r>
          <w:rPr>
            <w:i/>
            <w:iCs/>
            <w:color w:val="000000"/>
          </w:rPr>
          <w:t>,</w:t>
        </w:r>
        <w:r>
          <w:rPr>
            <w:color w:val="000000"/>
          </w:rPr>
          <w:t xml:space="preserve"> 169 F.3d 99, 102 (2d Cir.1999)</w:t>
        </w:r>
      </w:hyperlink>
      <w:r>
        <w:rPr>
          <w:color w:val="000000"/>
        </w:rPr>
        <w:t xml:space="preserve"> (</w:t>
      </w:r>
      <w:r>
        <w:rPr>
          <w:color w:val="000000"/>
        </w:rPr>
        <w:t>“</w:t>
      </w:r>
      <w:r>
        <w:rPr>
          <w:color w:val="000000"/>
        </w:rPr>
        <w:t>Courts have broad authority to refuse to enforce contingent fee arrangements that award fees that exceed a reasonable amount.</w:t>
      </w:r>
      <w:r>
        <w:rPr>
          <w:color w:val="000000"/>
        </w:rPr>
        <w:t>”</w:t>
      </w:r>
      <w:r>
        <w:rPr>
          <w:color w:val="000000"/>
        </w:rPr>
        <w:t xml:space="preserve">). This is so because the courts have inherent authority to </w:t>
      </w:r>
      <w:r>
        <w:rPr>
          <w:color w:val="000000"/>
        </w:rPr>
        <w:t>“</w:t>
      </w:r>
      <w:r>
        <w:rPr>
          <w:color w:val="000000"/>
        </w:rPr>
        <w:t xml:space="preserve">police the conduct of </w:t>
      </w:r>
      <w:r>
        <w:rPr>
          <w:color w:val="000000"/>
        </w:rPr>
        <w:t>attorneys as officers of the court,</w:t>
      </w:r>
      <w:r>
        <w:rPr>
          <w:color w:val="000000"/>
        </w:rPr>
        <w:t>”</w:t>
      </w:r>
      <w:r>
        <w:rPr>
          <w:color w:val="000000"/>
        </w:rPr>
        <w:t xml:space="preserve"> and this authority includes </w:t>
      </w:r>
      <w:r>
        <w:rPr>
          <w:color w:val="000000"/>
        </w:rPr>
        <w:t>“</w:t>
      </w:r>
      <w:r>
        <w:rPr>
          <w:color w:val="000000"/>
        </w:rPr>
        <w:t>the right to inquire into fee arrangements.</w:t>
      </w:r>
      <w:r>
        <w:rPr>
          <w:color w:val="000000"/>
        </w:rPr>
        <w:t>”</w:t>
      </w:r>
      <w:r>
        <w:rPr>
          <w:color w:val="000000"/>
        </w:rPr>
        <w:t xml:space="preserve"> </w:t>
      </w:r>
      <w:hyperlink r:id="rId85" w:history="1">
        <w:r>
          <w:rPr>
            <w:i/>
            <w:iCs/>
            <w:color w:val="000000"/>
          </w:rPr>
          <w:t>In re Goldstein,</w:t>
        </w:r>
        <w:r>
          <w:rPr>
            <w:color w:val="000000"/>
          </w:rPr>
          <w:t xml:space="preserve"> 430 F.3d 106, 110 (2d Cir.2005)</w:t>
        </w:r>
      </w:hyperlink>
      <w:r>
        <w:rPr>
          <w:color w:val="000000"/>
        </w:rPr>
        <w:t xml:space="preserve"> (internal </w:t>
      </w:r>
      <w:bookmarkStart w:id="59" w:name="co_pp_sp_506_126_1"/>
      <w:bookmarkEnd w:id="59"/>
      <w:r>
        <w:rPr>
          <w:b/>
          <w:bCs/>
          <w:color w:val="000000"/>
        </w:rPr>
        <w:t>*126</w:t>
      </w:r>
      <w:r>
        <w:rPr>
          <w:color w:val="000000"/>
        </w:rPr>
        <w:t xml:space="preserve"> quotation marks and citations omitted). Therefore, courts may review a fee arrangement for reasonableness even if it has not been challenged by the parties. </w:t>
      </w:r>
      <w:r>
        <w:rPr>
          <w:i/>
          <w:iCs/>
          <w:color w:val="000000"/>
        </w:rPr>
        <w:t xml:space="preserve">See </w:t>
      </w:r>
      <w:hyperlink r:id="rId86" w:history="1">
        <w:r>
          <w:rPr>
            <w:i/>
            <w:iCs/>
            <w:color w:val="000000"/>
          </w:rPr>
          <w:t>Rosquist v. Soo Li</w:t>
        </w:r>
        <w:r>
          <w:rPr>
            <w:i/>
            <w:iCs/>
            <w:color w:val="000000"/>
          </w:rPr>
          <w:t>ne R.R.,</w:t>
        </w:r>
        <w:r>
          <w:rPr>
            <w:color w:val="000000"/>
          </w:rPr>
          <w:t xml:space="preserve"> 692 F.2d 1107, 1111 (7th Cir.1982)</w:t>
        </w:r>
      </w:hyperlink>
      <w:r>
        <w:rPr>
          <w:color w:val="000000"/>
        </w:rPr>
        <w:t xml:space="preserve"> (</w:t>
      </w:r>
      <w:r>
        <w:rPr>
          <w:color w:val="000000"/>
        </w:rPr>
        <w:t>“</w:t>
      </w:r>
      <w:r>
        <w:rPr>
          <w:color w:val="000000"/>
        </w:rPr>
        <w:t>Courts have a stake in attorney’s fees contracts; the fairness of the terms reflects directly on the court and its bar.</w:t>
      </w:r>
      <w:r>
        <w:rPr>
          <w:color w:val="000000"/>
        </w:rPr>
        <w:t>”</w:t>
      </w:r>
      <w:r>
        <w:rPr>
          <w:color w:val="000000"/>
        </w:rPr>
        <w:t>).</w:t>
      </w:r>
      <w:bookmarkStart w:id="60" w:name="co_footnoteReference_B00982033547687_ID0"/>
      <w:bookmarkEnd w:id="60"/>
      <w:r>
        <w:rPr>
          <w:color w:val="000000"/>
          <w:sz w:val="16"/>
          <w:szCs w:val="16"/>
        </w:rPr>
        <w:fldChar w:fldCharType="begin"/>
      </w:r>
      <w:r>
        <w:rPr>
          <w:color w:val="000000"/>
          <w:sz w:val="16"/>
          <w:szCs w:val="16"/>
        </w:rPr>
        <w:instrText>HYPERLINK</w:instrText>
      </w:r>
      <w:r>
        <w:rPr>
          <w:color w:val="000000"/>
          <w:sz w:val="16"/>
          <w:szCs w:val="16"/>
        </w:rPr>
        <w:instrText xml:space="preserve"> "#co_footnote_B00982033547687_1" </w:instrText>
      </w:r>
      <w:r>
        <w:rPr>
          <w:color w:val="000000"/>
          <w:sz w:val="16"/>
          <w:szCs w:val="16"/>
        </w:rPr>
      </w:r>
      <w:r>
        <w:rPr>
          <w:color w:val="000000"/>
          <w:sz w:val="16"/>
          <w:szCs w:val="16"/>
        </w:rPr>
        <w:fldChar w:fldCharType="separate"/>
      </w:r>
      <w:r>
        <w:rPr>
          <w:color w:val="000000"/>
          <w:sz w:val="16"/>
          <w:szCs w:val="16"/>
          <w:vertAlign w:val="superscript"/>
        </w:rPr>
        <w:t>8</w:t>
      </w:r>
      <w:r>
        <w:rPr>
          <w:color w:val="000000"/>
          <w:sz w:val="16"/>
          <w:szCs w:val="16"/>
        </w:rPr>
        <w:fldChar w:fldCharType="end"/>
      </w:r>
    </w:p>
    <w:p w:rsidR="00000000" w:rsidRDefault="002262B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61" w:name="co_footnote_B00982033547687_1"/>
          <w:bookmarkEnd w:id="61"/>
          <w:p w:rsidR="00000000" w:rsidRDefault="002262B3">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"#co_footnoteReference_B00982033547687_ID0" </w:instrText>
            </w:r>
            <w:r>
              <w:rPr>
                <w:color w:val="000000"/>
              </w:rPr>
            </w:r>
            <w:r>
              <w:rPr>
                <w:color w:val="000000"/>
              </w:rPr>
              <w:fldChar w:fldCharType="separate"/>
            </w:r>
            <w:r>
              <w:rPr>
                <w:color w:val="000000"/>
                <w:vertAlign w:val="superscript"/>
              </w:rPr>
              <w:t>8</w:t>
            </w:r>
            <w:r>
              <w:rPr>
                <w:color w:val="000000"/>
              </w:rPr>
              <w:fldChar w:fldCharType="end"/>
            </w:r>
          </w:p>
          <w:p w:rsidR="00000000" w:rsidRDefault="002262B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62B3">
            <w:pPr>
              <w:widowControl w:val="0"/>
              <w:autoSpaceDE w:val="0"/>
              <w:autoSpaceDN w:val="0"/>
              <w:adjustRightInd w:val="0"/>
              <w:jc w:val="both"/>
              <w:rPr>
                <w:color w:val="000000"/>
                <w:sz w:val="18"/>
                <w:szCs w:val="18"/>
              </w:rPr>
            </w:pPr>
            <w:r>
              <w:rPr>
                <w:color w:val="000000"/>
                <w:sz w:val="18"/>
                <w:szCs w:val="18"/>
              </w:rPr>
              <w:t>There is some difference among the parties as to whether the attor</w:t>
            </w:r>
            <w:r>
              <w:rPr>
                <w:color w:val="000000"/>
                <w:sz w:val="18"/>
                <w:szCs w:val="18"/>
              </w:rPr>
              <w:t xml:space="preserve">neys’ fees question is governed by state or federal law. We need not decide the question, however, because our analysis would not change. Under both federal and New York law, courts are permitted to review contingent fees for excessiveness. </w:t>
            </w:r>
            <w:r>
              <w:rPr>
                <w:i/>
                <w:iCs/>
                <w:color w:val="000000"/>
                <w:sz w:val="18"/>
                <w:szCs w:val="18"/>
              </w:rPr>
              <w:t xml:space="preserve">Compare </w:t>
            </w:r>
            <w:hyperlink r:id="rId87" w:history="1">
              <w:r>
                <w:rPr>
                  <w:i/>
                  <w:iCs/>
                  <w:color w:val="000000"/>
                  <w:sz w:val="18"/>
                  <w:szCs w:val="18"/>
                </w:rPr>
                <w:t>Lawrence v. Miller,</w:t>
              </w:r>
              <w:r>
                <w:rPr>
                  <w:color w:val="000000"/>
                  <w:sz w:val="18"/>
                  <w:szCs w:val="18"/>
                </w:rPr>
                <w:t xml:space="preserve"> 11 N.Y.3d 588, 596, 873 N.Y.S.2d 517, 901 N.E.2d 1268 (2008)</w:t>
              </w:r>
            </w:hyperlink>
            <w:r>
              <w:rPr>
                <w:color w:val="000000"/>
                <w:sz w:val="18"/>
                <w:szCs w:val="18"/>
              </w:rPr>
              <w:t xml:space="preserve">, </w:t>
            </w:r>
            <w:r>
              <w:rPr>
                <w:i/>
                <w:iCs/>
                <w:color w:val="000000"/>
                <w:sz w:val="18"/>
                <w:szCs w:val="18"/>
              </w:rPr>
              <w:t xml:space="preserve">with </w:t>
            </w:r>
            <w:hyperlink r:id="rId88" w:history="1">
              <w:r>
                <w:rPr>
                  <w:i/>
                  <w:iCs/>
                  <w:color w:val="000000"/>
                  <w:sz w:val="18"/>
                  <w:szCs w:val="18"/>
                </w:rPr>
                <w:t>In re Agent Orange,</w:t>
              </w:r>
              <w:r>
                <w:rPr>
                  <w:color w:val="000000"/>
                  <w:sz w:val="18"/>
                  <w:szCs w:val="18"/>
                </w:rPr>
                <w:t xml:space="preserve"> 818 F.2d at 240</w:t>
              </w:r>
            </w:hyperlink>
            <w:r>
              <w:rPr>
                <w:color w:val="000000"/>
                <w:sz w:val="18"/>
                <w:szCs w:val="18"/>
              </w:rPr>
              <w:t>.</w:t>
            </w:r>
          </w:p>
          <w:p w:rsidR="00000000" w:rsidRDefault="002262B3">
            <w:pPr>
              <w:widowControl w:val="0"/>
              <w:autoSpaceDE w:val="0"/>
              <w:autoSpaceDN w:val="0"/>
              <w:adjustRightInd w:val="0"/>
              <w:jc w:val="both"/>
              <w:rPr>
                <w:color w:val="000000"/>
                <w:sz w:val="18"/>
                <w:szCs w:val="18"/>
              </w:rPr>
            </w:pPr>
          </w:p>
        </w:tc>
      </w:tr>
    </w:tbl>
    <w:p w:rsidR="00000000" w:rsidRDefault="002262B3">
      <w:pPr>
        <w:widowControl w:val="0"/>
        <w:autoSpaceDE w:val="0"/>
        <w:autoSpaceDN w:val="0"/>
        <w:adjustRightInd w:val="0"/>
        <w:jc w:val="both"/>
        <w:rPr>
          <w:color w:val="000000"/>
        </w:rPr>
      </w:pPr>
    </w:p>
    <w:p w:rsidR="00000000" w:rsidRDefault="002262B3">
      <w:pPr>
        <w:widowControl w:val="0"/>
        <w:autoSpaceDE w:val="0"/>
        <w:autoSpaceDN w:val="0"/>
        <w:adjustRightInd w:val="0"/>
        <w:jc w:val="both"/>
        <w:rPr>
          <w:color w:val="000000"/>
        </w:rPr>
      </w:pPr>
      <w:r>
        <w:rPr>
          <w:color w:val="000000"/>
        </w:rPr>
        <w:t xml:space="preserve">The reasonableness of a fee award is a matter committed to the </w:t>
      </w:r>
      <w:r>
        <w:rPr>
          <w:color w:val="000000"/>
        </w:rPr>
        <w:t>“</w:t>
      </w:r>
      <w:r>
        <w:rPr>
          <w:color w:val="000000"/>
        </w:rPr>
        <w:t>sound discretion</w:t>
      </w:r>
      <w:r>
        <w:rPr>
          <w:color w:val="000000"/>
        </w:rPr>
        <w:t>”</w:t>
      </w:r>
      <w:r>
        <w:rPr>
          <w:color w:val="000000"/>
        </w:rPr>
        <w:t xml:space="preserve"> of the district court, and we review a district court’s award of att</w:t>
      </w:r>
      <w:r>
        <w:rPr>
          <w:color w:val="000000"/>
        </w:rPr>
        <w:t xml:space="preserve">orneys’ fees under a highly deferential abuse of discretion standard. </w:t>
      </w:r>
      <w:hyperlink r:id="rId89" w:history="1">
        <w:r>
          <w:rPr>
            <w:i/>
            <w:iCs/>
            <w:color w:val="000000"/>
          </w:rPr>
          <w:t>McDaniel v. Cnty. of Schenectady,</w:t>
        </w:r>
        <w:r>
          <w:rPr>
            <w:color w:val="000000"/>
          </w:rPr>
          <w:t xml:space="preserve"> 595 F.3d 411, 414–16 (2d Cir.2010)</w:t>
        </w:r>
      </w:hyperlink>
      <w:r>
        <w:rPr>
          <w:color w:val="000000"/>
        </w:rPr>
        <w:t xml:space="preserve">; </w:t>
      </w:r>
      <w:hyperlink r:id="rId90" w:history="1">
        <w:r>
          <w:rPr>
            <w:i/>
            <w:iCs/>
            <w:color w:val="000000"/>
          </w:rPr>
          <w:t>Goldberger v. Integrated Res., Inc.,</w:t>
        </w:r>
        <w:r>
          <w:rPr>
            <w:color w:val="000000"/>
          </w:rPr>
          <w:t xml:space="preserve"> 209 F.3d 43, 47 (2d Cir.2000)</w:t>
        </w:r>
      </w:hyperlink>
      <w:r>
        <w:rPr>
          <w:color w:val="000000"/>
        </w:rPr>
        <w:t xml:space="preserve">; </w:t>
      </w:r>
      <w:hyperlink r:id="rId91" w:history="1">
        <w:r>
          <w:rPr>
            <w:i/>
            <w:iCs/>
            <w:color w:val="000000"/>
          </w:rPr>
          <w:t>Alderman,</w:t>
        </w:r>
        <w:r>
          <w:rPr>
            <w:color w:val="000000"/>
          </w:rPr>
          <w:t xml:space="preserve"> 169 F.3d at 102</w:t>
        </w:r>
      </w:hyperlink>
      <w:r>
        <w:rPr>
          <w:color w:val="000000"/>
        </w:rPr>
        <w:t xml:space="preserve">. In mass tort cases, district courts have routinely capped attorneys’ fees </w:t>
      </w:r>
      <w:r>
        <w:rPr>
          <w:i/>
          <w:iCs/>
          <w:color w:val="000000"/>
        </w:rPr>
        <w:t>sua spo</w:t>
      </w:r>
      <w:r>
        <w:rPr>
          <w:i/>
          <w:iCs/>
          <w:color w:val="000000"/>
        </w:rPr>
        <w:t xml:space="preserve">nte. See, e.g., </w:t>
      </w:r>
      <w:hyperlink r:id="rId92" w:history="1">
        <w:r>
          <w:rPr>
            <w:i/>
            <w:iCs/>
            <w:color w:val="000000"/>
          </w:rPr>
          <w:t>In re Zyprexa Prods. Liab. Litig.,</w:t>
        </w:r>
        <w:r>
          <w:rPr>
            <w:color w:val="000000"/>
          </w:rPr>
          <w:t xml:space="preserve"> 424 F.Supp.2d 488, 490–91 (E.D.N.Y.2006)</w:t>
        </w:r>
      </w:hyperlink>
      <w:r>
        <w:rPr>
          <w:color w:val="000000"/>
        </w:rPr>
        <w:t xml:space="preserve"> (capping attorneys’ fees at 20% for one class of plaintiffs, citing an earlier opinion where it </w:t>
      </w:r>
      <w:r>
        <w:rPr>
          <w:color w:val="000000"/>
        </w:rPr>
        <w:t xml:space="preserve">noted that </w:t>
      </w:r>
      <w:r>
        <w:rPr>
          <w:color w:val="000000"/>
        </w:rPr>
        <w:t>“</w:t>
      </w:r>
      <w:r>
        <w:rPr>
          <w:color w:val="000000"/>
        </w:rPr>
        <w:t>the court has the explicit power to require reasonable fees in class actions</w:t>
      </w:r>
      <w:r>
        <w:rPr>
          <w:color w:val="000000"/>
        </w:rPr>
        <w:t>”</w:t>
      </w:r>
      <w:r>
        <w:rPr>
          <w:color w:val="000000"/>
        </w:rPr>
        <w:t xml:space="preserve">); </w:t>
      </w:r>
      <w:hyperlink r:id="rId93" w:history="1">
        <w:r>
          <w:rPr>
            <w:i/>
            <w:iCs/>
            <w:color w:val="000000"/>
          </w:rPr>
          <w:t>In re Guidant Corp. Implantable Defibrillators Prods. Liab. Litig.,</w:t>
        </w:r>
        <w:r>
          <w:rPr>
            <w:color w:val="000000"/>
          </w:rPr>
          <w:t xml:space="preserve"> MDL No. 05–1708, 2008 WL 3896006, at *10 (D.Minn. Aug. 21, 2008)</w:t>
        </w:r>
      </w:hyperlink>
      <w:r>
        <w:rPr>
          <w:color w:val="000000"/>
        </w:rPr>
        <w:t xml:space="preserve"> (</w:t>
      </w:r>
      <w:r>
        <w:rPr>
          <w:color w:val="000000"/>
        </w:rPr>
        <w:t>“</w:t>
      </w:r>
      <w:r>
        <w:rPr>
          <w:color w:val="000000"/>
        </w:rPr>
        <w:t>[T]he maximum amount of contingency fees that any firm will be allowed to collect is [limited to] approximately 28%.</w:t>
      </w:r>
      <w:r>
        <w:rPr>
          <w:color w:val="000000"/>
        </w:rPr>
        <w:t>”</w:t>
      </w:r>
      <w:r>
        <w:rPr>
          <w:color w:val="000000"/>
        </w:rPr>
        <w:t xml:space="preserve"> (footnote omitted)).</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hyperlink r:id="rId94" w:history="1">
        <w:r>
          <w:rPr>
            <w:b/>
            <w:bCs/>
            <w:color w:val="000000"/>
            <w:vertAlign w:val="superscript"/>
          </w:rPr>
          <w:t>[17]</w:t>
        </w:r>
      </w:hyperlink>
      <w:bookmarkStart w:id="62" w:name="co_anchor_B172033547687_1"/>
      <w:bookmarkEnd w:id="62"/>
      <w:r>
        <w:rPr>
          <w:color w:val="000000"/>
        </w:rPr>
        <w:t xml:space="preserve"> To determine the reasonableness of fees in the context of common funds, we have considered the following six factors:</w:t>
      </w:r>
    </w:p>
    <w:p w:rsidR="00000000" w:rsidRDefault="002262B3">
      <w:pPr>
        <w:widowControl w:val="0"/>
        <w:autoSpaceDE w:val="0"/>
        <w:autoSpaceDN w:val="0"/>
        <w:adjustRightInd w:val="0"/>
        <w:spacing w:before="250" w:after="50"/>
        <w:ind w:left="1000" w:right="800"/>
        <w:jc w:val="both"/>
        <w:rPr>
          <w:color w:val="000000"/>
        </w:rPr>
      </w:pPr>
      <w:r>
        <w:rPr>
          <w:color w:val="000000"/>
        </w:rPr>
        <w:t>(1) the time and labor expended by counsel; (2) the magnitude and complexities of the litigation; (3) the risk of the litigation ...; (4)</w:t>
      </w:r>
      <w:r>
        <w:rPr>
          <w:color w:val="000000"/>
        </w:rPr>
        <w:t xml:space="preserve"> the quality of representation; (5) the requested fee in relation to the settlement; and (6) public policy considerations.</w:t>
      </w:r>
    </w:p>
    <w:p w:rsidR="00000000" w:rsidRDefault="002262B3">
      <w:pPr>
        <w:widowControl w:val="0"/>
        <w:autoSpaceDE w:val="0"/>
        <w:autoSpaceDN w:val="0"/>
        <w:adjustRightInd w:val="0"/>
        <w:spacing w:before="200"/>
        <w:jc w:val="both"/>
        <w:rPr>
          <w:color w:val="000000"/>
        </w:rPr>
      </w:pPr>
      <w:hyperlink r:id="rId95" w:history="1">
        <w:r>
          <w:rPr>
            <w:i/>
            <w:iCs/>
            <w:color w:val="000000"/>
          </w:rPr>
          <w:t>Goldberger,</w:t>
        </w:r>
        <w:r>
          <w:rPr>
            <w:color w:val="000000"/>
          </w:rPr>
          <w:t xml:space="preserve"> 209 F.3d at 50</w:t>
        </w:r>
      </w:hyperlink>
      <w:r>
        <w:rPr>
          <w:color w:val="000000"/>
        </w:rPr>
        <w:t xml:space="preserve"> (citation omitted) (alteration in original</w:t>
      </w:r>
      <w:r>
        <w:rPr>
          <w:color w:val="000000"/>
        </w:rPr>
        <w:t xml:space="preserve">); </w:t>
      </w:r>
      <w:r>
        <w:rPr>
          <w:i/>
          <w:iCs/>
          <w:color w:val="000000"/>
        </w:rPr>
        <w:t xml:space="preserve">see </w:t>
      </w:r>
      <w:hyperlink r:id="rId96" w:history="1">
        <w:r>
          <w:rPr>
            <w:i/>
            <w:iCs/>
            <w:color w:val="000000"/>
          </w:rPr>
          <w:t>City of Detroit v. Grinnell Corp.,</w:t>
        </w:r>
        <w:r>
          <w:rPr>
            <w:color w:val="000000"/>
          </w:rPr>
          <w:t xml:space="preserve"> 495 F.2d 448, 470 (2d Cir.1974)</w:t>
        </w:r>
      </w:hyperlink>
      <w:r>
        <w:rPr>
          <w:color w:val="000000"/>
        </w:rPr>
        <w:t xml:space="preserve">. New York state courts have adopted a similar set of factors in determining the reasonableness of fee structures. </w:t>
      </w:r>
      <w:r>
        <w:rPr>
          <w:i/>
          <w:iCs/>
          <w:color w:val="000000"/>
        </w:rPr>
        <w:t>Se</w:t>
      </w:r>
      <w:r>
        <w:rPr>
          <w:i/>
          <w:iCs/>
          <w:color w:val="000000"/>
        </w:rPr>
        <w:t xml:space="preserve">e </w:t>
      </w:r>
      <w:hyperlink r:id="rId97" w:history="1">
        <w:r>
          <w:rPr>
            <w:i/>
            <w:iCs/>
            <w:color w:val="000000"/>
          </w:rPr>
          <w:t>In re Estate of Freeman,</w:t>
        </w:r>
        <w:r>
          <w:rPr>
            <w:color w:val="000000"/>
          </w:rPr>
          <w:t xml:space="preserve"> 34 N.Y.2d 1, 9–11, 355 N.Y.S.2d 336, 311 N.E.2d 480 (1974)</w:t>
        </w:r>
      </w:hyperlink>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63" w:name="co_anchor_Ic488eb4a453811e498db8b09b4f04"/>
      <w:bookmarkEnd w:id="63"/>
    </w:p>
    <w:p w:rsidR="00000000" w:rsidRDefault="002262B3">
      <w:pPr>
        <w:widowControl w:val="0"/>
        <w:autoSpaceDE w:val="0"/>
        <w:autoSpaceDN w:val="0"/>
        <w:adjustRightInd w:val="0"/>
        <w:spacing w:before="200"/>
        <w:ind w:left="200"/>
        <w:rPr>
          <w:b/>
          <w:bCs/>
          <w:i/>
          <w:iCs/>
          <w:color w:val="000000"/>
        </w:rPr>
      </w:pPr>
      <w:r>
        <w:rPr>
          <w:b/>
          <w:bCs/>
          <w:color w:val="000000"/>
        </w:rPr>
        <w:t xml:space="preserve">ii. </w:t>
      </w:r>
      <w:r>
        <w:rPr>
          <w:b/>
          <w:bCs/>
          <w:i/>
          <w:iCs/>
          <w:color w:val="000000"/>
        </w:rPr>
        <w:t>Application</w:t>
      </w:r>
    </w:p>
    <w:p w:rsidR="00000000" w:rsidRDefault="002262B3">
      <w:pPr>
        <w:widowControl w:val="0"/>
        <w:autoSpaceDE w:val="0"/>
        <w:autoSpaceDN w:val="0"/>
        <w:adjustRightInd w:val="0"/>
        <w:jc w:val="both"/>
        <w:rPr>
          <w:color w:val="000000"/>
        </w:rPr>
      </w:pPr>
      <w:r>
        <w:rPr>
          <w:color w:val="000000"/>
        </w:rPr>
        <w:t xml:space="preserve">The district court ruled that plaintiffs’ </w:t>
      </w:r>
      <w:r>
        <w:rPr>
          <w:color w:val="000000"/>
        </w:rPr>
        <w:t>counsel could not recover a contingent fee from the Bonus Payment or the First Contingent Payment.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64" w:name="co_anchor_Ic488eb4b453811e498db8b09b4f04"/>
      <w:bookmarkEnd w:id="64"/>
    </w:p>
    <w:p w:rsidR="00000000" w:rsidRDefault="002262B3">
      <w:pPr>
        <w:widowControl w:val="0"/>
        <w:autoSpaceDE w:val="0"/>
        <w:autoSpaceDN w:val="0"/>
        <w:adjustRightInd w:val="0"/>
        <w:spacing w:before="200"/>
        <w:ind w:left="200"/>
        <w:rPr>
          <w:b/>
          <w:bCs/>
          <w:i/>
          <w:iCs/>
          <w:color w:val="000000"/>
        </w:rPr>
      </w:pPr>
      <w:r>
        <w:rPr>
          <w:b/>
          <w:bCs/>
          <w:color w:val="000000"/>
        </w:rPr>
        <w:t xml:space="preserve">a. </w:t>
      </w:r>
      <w:r>
        <w:rPr>
          <w:b/>
          <w:bCs/>
          <w:i/>
          <w:iCs/>
          <w:color w:val="000000"/>
        </w:rPr>
        <w:t>The Bonus Payment</w:t>
      </w:r>
    </w:p>
    <w:p w:rsidR="00000000" w:rsidRDefault="002262B3">
      <w:pPr>
        <w:widowControl w:val="0"/>
        <w:autoSpaceDE w:val="0"/>
        <w:autoSpaceDN w:val="0"/>
        <w:adjustRightInd w:val="0"/>
        <w:jc w:val="both"/>
        <w:rPr>
          <w:color w:val="000000"/>
        </w:rPr>
      </w:pPr>
      <w:hyperlink r:id="rId98" w:history="1">
        <w:r>
          <w:rPr>
            <w:b/>
            <w:bCs/>
            <w:color w:val="000000"/>
            <w:vertAlign w:val="superscript"/>
          </w:rPr>
          <w:t>[18]</w:t>
        </w:r>
      </w:hyperlink>
      <w:bookmarkStart w:id="65" w:name="co_anchor_B182033547687_1"/>
      <w:bookmarkEnd w:id="65"/>
      <w:r>
        <w:rPr>
          <w:color w:val="000000"/>
        </w:rPr>
        <w:t xml:space="preserve"> While we remand for further proceedings with respect to the Bonus Payment, only the amount of the Bonus Payment is in dispute. It is uncontested that defendants must make a Bonus Payment, and thus the at</w:t>
      </w:r>
      <w:r>
        <w:rPr>
          <w:color w:val="000000"/>
        </w:rPr>
        <w:t>torneys’ fee question</w:t>
      </w:r>
      <w:r>
        <w:rPr>
          <w:color w:val="000000"/>
        </w:rPr>
        <w:t>—</w:t>
      </w:r>
      <w:r>
        <w:rPr>
          <w:color w:val="000000"/>
        </w:rPr>
        <w:t>whether plaintiffs’ counsel will receive a percentage of the Bonus Payment, whatever the amount turns out to be</w:t>
      </w:r>
      <w:r>
        <w:rPr>
          <w:color w:val="000000"/>
        </w:rPr>
        <w:t>—</w:t>
      </w:r>
      <w:r>
        <w:rPr>
          <w:color w:val="000000"/>
        </w:rPr>
        <w:t>is still before us.</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We conclude that the district court did not abuse its discretion in holding that plaintiffs’ counsel</w:t>
      </w:r>
      <w:r>
        <w:rPr>
          <w:color w:val="000000"/>
        </w:rPr>
        <w:t xml:space="preserve"> are not entitled to recover a contingent fee with respect to the Bonus Payment. As the district court observed, the settlement of these suits (against these as well as other defendants) has generated some $725 million in recoveries, </w:t>
      </w:r>
      <w:bookmarkStart w:id="66" w:name="co_pp_sp_506_127_1"/>
      <w:bookmarkEnd w:id="66"/>
      <w:r>
        <w:rPr>
          <w:b/>
          <w:bCs/>
          <w:color w:val="000000"/>
        </w:rPr>
        <w:t>*127</w:t>
      </w:r>
      <w:r>
        <w:rPr>
          <w:color w:val="000000"/>
        </w:rPr>
        <w:t xml:space="preserve"> and plaintiffs’ counsel stand to recover some $187 million in attorneys’ fees, after the reimbursement of expenses. The district court’s determination this amount is </w:t>
      </w:r>
      <w:r>
        <w:rPr>
          <w:color w:val="000000"/>
        </w:rPr>
        <w:t>“</w:t>
      </w:r>
      <w:r>
        <w:rPr>
          <w:color w:val="000000"/>
        </w:rPr>
        <w:t>more than sufficient to compensate counsel for their representation</w:t>
      </w:r>
      <w:r>
        <w:rPr>
          <w:color w:val="000000"/>
        </w:rPr>
        <w:t>”</w:t>
      </w:r>
      <w:r>
        <w:rPr>
          <w:color w:val="000000"/>
        </w:rPr>
        <w:t xml:space="preserve"> d</w:t>
      </w:r>
      <w:r>
        <w:rPr>
          <w:color w:val="000000"/>
        </w:rPr>
        <w:t>id not exceed the bounds of its discretion.</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We note the following:</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First, plaintiffs’ counsel did not submit any evidence of the number of hours they worked. Indeed, the attorneys represented to the district court that they </w:t>
      </w:r>
      <w:r>
        <w:rPr>
          <w:color w:val="000000"/>
        </w:rPr>
        <w:t>“</w:t>
      </w:r>
      <w:r>
        <w:rPr>
          <w:color w:val="000000"/>
        </w:rPr>
        <w:t>didn’t have any records</w:t>
      </w:r>
      <w:r>
        <w:rPr>
          <w:color w:val="000000"/>
        </w:rPr>
        <w:t>”</w:t>
      </w:r>
      <w:r>
        <w:rPr>
          <w:color w:val="000000"/>
        </w:rPr>
        <w:t xml:space="preserve"> of</w:t>
      </w:r>
      <w:r>
        <w:rPr>
          <w:color w:val="000000"/>
        </w:rPr>
        <w:t xml:space="preserve"> the number of hours expended. The district court observed that </w:t>
      </w:r>
      <w:r>
        <w:rPr>
          <w:color w:val="000000"/>
        </w:rPr>
        <w:t>“</w:t>
      </w:r>
      <w:r>
        <w:rPr>
          <w:color w:val="000000"/>
        </w:rPr>
        <w:t>none of these firms apparently maintained time records.</w:t>
      </w:r>
      <w:r>
        <w:rPr>
          <w:color w:val="000000"/>
        </w:rPr>
        <w:t>”</w:t>
      </w:r>
      <w:r>
        <w:rPr>
          <w:color w:val="000000"/>
        </w:rPr>
        <w:t xml:space="preserve"> Without time records, the district court was unable to calculate the lodestar to do a </w:t>
      </w:r>
      <w:r>
        <w:rPr>
          <w:color w:val="000000"/>
        </w:rPr>
        <w:t>“</w:t>
      </w:r>
      <w:r>
        <w:rPr>
          <w:color w:val="000000"/>
        </w:rPr>
        <w:t>cross check</w:t>
      </w:r>
      <w:r>
        <w:rPr>
          <w:color w:val="000000"/>
        </w:rPr>
        <w:t>”</w:t>
      </w:r>
      <w:r>
        <w:rPr>
          <w:color w:val="000000"/>
        </w:rPr>
        <w:t xml:space="preserve"> on the reasonableness of the fees.</w:t>
      </w:r>
      <w:r>
        <w:rPr>
          <w:color w:val="000000"/>
        </w:rPr>
        <w:t xml:space="preserve"> </w:t>
      </w:r>
      <w:r>
        <w:rPr>
          <w:i/>
          <w:iCs/>
          <w:color w:val="000000"/>
        </w:rPr>
        <w:t xml:space="preserve">See </w:t>
      </w:r>
      <w:hyperlink r:id="rId99" w:history="1">
        <w:r>
          <w:rPr>
            <w:i/>
            <w:iCs/>
            <w:color w:val="000000"/>
          </w:rPr>
          <w:t>Goldberger,</w:t>
        </w:r>
        <w:r>
          <w:rPr>
            <w:color w:val="000000"/>
          </w:rPr>
          <w:t xml:space="preserve"> 209 F.3d at 50</w:t>
        </w:r>
      </w:hyperlink>
      <w:r>
        <w:rPr>
          <w:color w:val="000000"/>
        </w:rPr>
        <w:t xml:space="preserve">; </w:t>
      </w:r>
      <w:r>
        <w:rPr>
          <w:i/>
          <w:iCs/>
          <w:color w:val="000000"/>
        </w:rPr>
        <w:t xml:space="preserve">see also </w:t>
      </w:r>
      <w:hyperlink r:id="rId100" w:history="1">
        <w:r>
          <w:rPr>
            <w:i/>
            <w:iCs/>
            <w:color w:val="000000"/>
          </w:rPr>
          <w:t>Hensley v. Eckerhart,</w:t>
        </w:r>
        <w:r>
          <w:rPr>
            <w:color w:val="000000"/>
          </w:rPr>
          <w:t xml:space="preserve"> </w:t>
        </w:r>
        <w:r>
          <w:rPr>
            <w:color w:val="000000"/>
          </w:rPr>
          <w:t>461 U.S. 424, 433, 103 S.Ct. 1933, 76 L.Ed.2d 40 (1983)</w:t>
        </w:r>
      </w:hyperlink>
      <w:r>
        <w:rPr>
          <w:color w:val="000000"/>
        </w:rPr>
        <w:t xml:space="preserve"> (evidence of hours worked is </w:t>
      </w:r>
      <w:r>
        <w:rPr>
          <w:color w:val="000000"/>
        </w:rPr>
        <w:t>“</w:t>
      </w:r>
      <w:r>
        <w:rPr>
          <w:color w:val="000000"/>
        </w:rPr>
        <w:t>most useful starting point</w:t>
      </w:r>
      <w:r>
        <w:rPr>
          <w:color w:val="000000"/>
        </w:rPr>
        <w:t>”</w:t>
      </w:r>
      <w:r>
        <w:rPr>
          <w:color w:val="000000"/>
        </w:rPr>
        <w:t xml:space="preserve"> in determining reasonable attorneys’ fees).</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The second factor, the </w:t>
      </w:r>
      <w:r>
        <w:rPr>
          <w:color w:val="000000"/>
        </w:rPr>
        <w:t>“</w:t>
      </w:r>
      <w:r>
        <w:rPr>
          <w:color w:val="000000"/>
        </w:rPr>
        <w:t>magnitude and complexity of the litigation,</w:t>
      </w:r>
      <w:r>
        <w:rPr>
          <w:color w:val="000000"/>
        </w:rPr>
        <w:t>”</w:t>
      </w:r>
      <w:r>
        <w:rPr>
          <w:color w:val="000000"/>
        </w:rPr>
        <w:t xml:space="preserve"> weighs in favor</w:t>
      </w:r>
      <w:r>
        <w:rPr>
          <w:color w:val="000000"/>
        </w:rPr>
        <w:t xml:space="preserve"> of a substantial fee for plaintiffs’ counsel. This was perhaps </w:t>
      </w:r>
      <w:r>
        <w:rPr>
          <w:color w:val="000000"/>
        </w:rPr>
        <w:t>“</w:t>
      </w:r>
      <w:r>
        <w:rPr>
          <w:color w:val="000000"/>
        </w:rPr>
        <w:t>the most complex mass tort case in the history of the United States.</w:t>
      </w:r>
      <w:r>
        <w:rPr>
          <w:color w:val="000000"/>
        </w:rPr>
        <w:t>”</w:t>
      </w:r>
      <w:r>
        <w:rPr>
          <w:color w:val="000000"/>
        </w:rPr>
        <w:t xml:space="preserve"> Still, $180 million is indeed a substantial fee.</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Third, there was little risk that plaintiffs would not obtain a substa</w:t>
      </w:r>
      <w:r>
        <w:rPr>
          <w:color w:val="000000"/>
        </w:rPr>
        <w:t xml:space="preserve">ntial recovery in this litigation. In 2003, Congress appropriated $1 billion for the WTC Captive to insure New York City for tort claims arising out of the attacks of September 11, 2001. Thus, the attorneys who took on this case did not face all the risks </w:t>
      </w:r>
      <w:r>
        <w:rPr>
          <w:color w:val="000000"/>
        </w:rPr>
        <w:t>inherent in other mass tort litigations</w:t>
      </w:r>
      <w:r>
        <w:rPr>
          <w:color w:val="000000"/>
        </w:rPr>
        <w:t>—</w:t>
      </w:r>
      <w:r>
        <w:rPr>
          <w:color w:val="000000"/>
        </w:rPr>
        <w:t>such as the risk that plaintiffs would be denied any recovery or that defendants would be judgment-proof.</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sz w:val="16"/>
          <w:szCs w:val="16"/>
        </w:rPr>
      </w:pPr>
      <w:r>
        <w:rPr>
          <w:color w:val="000000"/>
        </w:rPr>
        <w:t>As to the fourth factor</w:t>
      </w:r>
      <w:r>
        <w:rPr>
          <w:color w:val="000000"/>
        </w:rPr>
        <w:t>—</w:t>
      </w:r>
      <w:r>
        <w:rPr>
          <w:color w:val="000000"/>
        </w:rPr>
        <w:t>quality of representation</w:t>
      </w:r>
      <w:r>
        <w:rPr>
          <w:color w:val="000000"/>
        </w:rPr>
        <w:t>—</w:t>
      </w:r>
      <w:r>
        <w:rPr>
          <w:color w:val="000000"/>
        </w:rPr>
        <w:t>while the district court was, on the whole, complimentary of plaintiffs’ counsel, it also chided them for certain delays and raised several ethical concerns about conflicts of interest in the fee arrangements.</w:t>
      </w:r>
      <w:bookmarkStart w:id="67" w:name="co_footnoteReference_B01092033547687_ID0"/>
      <w:bookmarkEnd w:id="67"/>
      <w:r>
        <w:rPr>
          <w:color w:val="000000"/>
          <w:sz w:val="16"/>
          <w:szCs w:val="16"/>
        </w:rPr>
        <w:fldChar w:fldCharType="begin"/>
      </w:r>
      <w:r>
        <w:rPr>
          <w:color w:val="000000"/>
          <w:sz w:val="16"/>
          <w:szCs w:val="16"/>
        </w:rPr>
        <w:instrText>HYPERLINK</w:instrText>
      </w:r>
      <w:r>
        <w:rPr>
          <w:color w:val="000000"/>
          <w:sz w:val="16"/>
          <w:szCs w:val="16"/>
        </w:rPr>
        <w:instrText xml:space="preserve"> "#co_footnote_B01092033547687_1" </w:instrText>
      </w:r>
      <w:r>
        <w:rPr>
          <w:color w:val="000000"/>
          <w:sz w:val="16"/>
          <w:szCs w:val="16"/>
        </w:rPr>
      </w:r>
      <w:r>
        <w:rPr>
          <w:color w:val="000000"/>
          <w:sz w:val="16"/>
          <w:szCs w:val="16"/>
        </w:rPr>
        <w:fldChar w:fldCharType="separate"/>
      </w:r>
      <w:r>
        <w:rPr>
          <w:color w:val="000000"/>
          <w:sz w:val="16"/>
          <w:szCs w:val="16"/>
          <w:vertAlign w:val="superscript"/>
        </w:rPr>
        <w:t>9</w:t>
      </w:r>
      <w:r>
        <w:rPr>
          <w:color w:val="000000"/>
          <w:sz w:val="16"/>
          <w:szCs w:val="16"/>
        </w:rPr>
        <w:fldChar w:fldCharType="end"/>
      </w:r>
    </w:p>
    <w:p w:rsidR="00000000" w:rsidRDefault="002262B3">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68" w:name="co_footnote_B01092033547687_1"/>
          <w:bookmarkEnd w:id="68"/>
          <w:p w:rsidR="00000000" w:rsidRDefault="002262B3">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"#co_footnoteReference_B01092033547687_ID0" </w:instrText>
            </w:r>
            <w:r>
              <w:rPr>
                <w:color w:val="000000"/>
              </w:rPr>
            </w:r>
            <w:r>
              <w:rPr>
                <w:color w:val="000000"/>
              </w:rPr>
              <w:fldChar w:fldCharType="separate"/>
            </w:r>
            <w:r>
              <w:rPr>
                <w:color w:val="000000"/>
                <w:vertAlign w:val="superscript"/>
              </w:rPr>
              <w:t>9</w:t>
            </w:r>
            <w:r>
              <w:rPr>
                <w:color w:val="000000"/>
              </w:rPr>
              <w:fldChar w:fldCharType="end"/>
            </w:r>
          </w:p>
          <w:p w:rsidR="00000000" w:rsidRDefault="002262B3">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000000" w:rsidRDefault="002262B3">
            <w:pPr>
              <w:widowControl w:val="0"/>
              <w:autoSpaceDE w:val="0"/>
              <w:autoSpaceDN w:val="0"/>
              <w:adjustRightInd w:val="0"/>
              <w:jc w:val="both"/>
              <w:rPr>
                <w:color w:val="000000"/>
                <w:sz w:val="18"/>
                <w:szCs w:val="18"/>
              </w:rPr>
            </w:pPr>
            <w:r>
              <w:rPr>
                <w:color w:val="000000"/>
                <w:sz w:val="18"/>
                <w:szCs w:val="18"/>
              </w:rPr>
              <w:t>The district court observed that perm</w:t>
            </w:r>
            <w:r>
              <w:rPr>
                <w:color w:val="000000"/>
                <w:sz w:val="18"/>
                <w:szCs w:val="18"/>
              </w:rPr>
              <w:t>itting plaintiffs’ counsel’s fee to increase based on the Bonus Payment raised problematic conflicts of interest. Where an attorney derives a benefit when his clients agree to settle or dismiss their claims, a conflict of interest may arise. It is a reason</w:t>
            </w:r>
            <w:r>
              <w:rPr>
                <w:color w:val="000000"/>
                <w:sz w:val="18"/>
                <w:szCs w:val="18"/>
              </w:rPr>
              <w:t xml:space="preserve">able exercise of a court’s power to modify a fee arrangement to prevent a violation of the attorney’s ethical responsibilities. </w:t>
            </w:r>
            <w:r>
              <w:rPr>
                <w:i/>
                <w:iCs/>
                <w:color w:val="000000"/>
                <w:sz w:val="18"/>
                <w:szCs w:val="18"/>
              </w:rPr>
              <w:t xml:space="preserve">See </w:t>
            </w:r>
            <w:hyperlink r:id="rId101" w:history="1">
              <w:r>
                <w:rPr>
                  <w:i/>
                  <w:iCs/>
                  <w:color w:val="000000"/>
                  <w:sz w:val="18"/>
                  <w:szCs w:val="18"/>
                </w:rPr>
                <w:t>Rosquist,</w:t>
              </w:r>
              <w:r>
                <w:rPr>
                  <w:color w:val="000000"/>
                  <w:sz w:val="18"/>
                  <w:szCs w:val="18"/>
                </w:rPr>
                <w:t xml:space="preserve"> 692 F.2d at 1111</w:t>
              </w:r>
            </w:hyperlink>
            <w:r>
              <w:rPr>
                <w:color w:val="000000"/>
                <w:sz w:val="18"/>
                <w:szCs w:val="18"/>
              </w:rPr>
              <w:t xml:space="preserve">; </w:t>
            </w:r>
            <w:r>
              <w:rPr>
                <w:i/>
                <w:iCs/>
                <w:color w:val="000000"/>
                <w:sz w:val="18"/>
                <w:szCs w:val="18"/>
              </w:rPr>
              <w:t xml:space="preserve">see also </w:t>
            </w:r>
            <w:hyperlink r:id="rId102" w:history="1">
              <w:r>
                <w:rPr>
                  <w:i/>
                  <w:iCs/>
                  <w:color w:val="000000"/>
                  <w:sz w:val="18"/>
                  <w:szCs w:val="18"/>
                </w:rPr>
                <w:t>In re Vioxx Prods. Liab. Litig.,</w:t>
              </w:r>
              <w:r>
                <w:rPr>
                  <w:color w:val="000000"/>
                  <w:sz w:val="18"/>
                  <w:szCs w:val="18"/>
                </w:rPr>
                <w:t xml:space="preserve"> 650 F.Supp.2d 549, 561–62 (E.D.La.2009)</w:t>
              </w:r>
            </w:hyperlink>
            <w:r>
              <w:rPr>
                <w:color w:val="000000"/>
                <w:sz w:val="18"/>
                <w:szCs w:val="18"/>
              </w:rPr>
              <w:t xml:space="preserve">; </w:t>
            </w:r>
            <w:hyperlink r:id="rId103" w:history="1">
              <w:r>
                <w:rPr>
                  <w:i/>
                  <w:iCs/>
                  <w:color w:val="000000"/>
                  <w:sz w:val="18"/>
                  <w:szCs w:val="18"/>
                </w:rPr>
                <w:t>In re Zyprexa,</w:t>
              </w:r>
              <w:r>
                <w:rPr>
                  <w:color w:val="000000"/>
                  <w:sz w:val="18"/>
                  <w:szCs w:val="18"/>
                </w:rPr>
                <w:t xml:space="preserve"> 424 F.Supp.2d at 490</w:t>
              </w:r>
            </w:hyperlink>
            <w:r>
              <w:rPr>
                <w:color w:val="000000"/>
                <w:sz w:val="18"/>
                <w:szCs w:val="18"/>
              </w:rPr>
              <w:t>.</w:t>
            </w:r>
          </w:p>
          <w:p w:rsidR="00000000" w:rsidRDefault="002262B3">
            <w:pPr>
              <w:widowControl w:val="0"/>
              <w:autoSpaceDE w:val="0"/>
              <w:autoSpaceDN w:val="0"/>
              <w:adjustRightInd w:val="0"/>
              <w:jc w:val="both"/>
              <w:rPr>
                <w:color w:val="000000"/>
                <w:sz w:val="18"/>
                <w:szCs w:val="18"/>
              </w:rPr>
            </w:pPr>
          </w:p>
        </w:tc>
      </w:tr>
    </w:tbl>
    <w:p w:rsidR="00000000" w:rsidRDefault="002262B3">
      <w:pPr>
        <w:widowControl w:val="0"/>
        <w:autoSpaceDE w:val="0"/>
        <w:autoSpaceDN w:val="0"/>
        <w:adjustRightInd w:val="0"/>
        <w:jc w:val="both"/>
        <w:rPr>
          <w:color w:val="000000"/>
        </w:rPr>
      </w:pPr>
    </w:p>
    <w:p w:rsidR="00000000" w:rsidRDefault="002262B3">
      <w:pPr>
        <w:widowControl w:val="0"/>
        <w:autoSpaceDE w:val="0"/>
        <w:autoSpaceDN w:val="0"/>
        <w:adjustRightInd w:val="0"/>
        <w:jc w:val="both"/>
        <w:rPr>
          <w:color w:val="000000"/>
        </w:rPr>
      </w:pPr>
      <w:r>
        <w:rPr>
          <w:color w:val="000000"/>
        </w:rPr>
        <w:t xml:space="preserve">Fifth, the cap of 25% of </w:t>
      </w:r>
      <w:r>
        <w:rPr>
          <w:color w:val="000000"/>
        </w:rPr>
        <w:t xml:space="preserve">plaintiffs’ recovery on the base settlement amounts was supported by precedent within this Circuit and in mass tort cases nationwide. The district court did not contravene precedent in precluding additional recovery with respect to the Bonus Payment. </w:t>
      </w:r>
      <w:r>
        <w:rPr>
          <w:i/>
          <w:iCs/>
          <w:color w:val="000000"/>
        </w:rPr>
        <w:t xml:space="preserve">See, </w:t>
      </w:r>
      <w:r>
        <w:rPr>
          <w:i/>
          <w:iCs/>
          <w:color w:val="000000"/>
        </w:rPr>
        <w:t xml:space="preserve">e.g., </w:t>
      </w:r>
      <w:hyperlink r:id="rId104" w:history="1">
        <w:r>
          <w:rPr>
            <w:i/>
            <w:iCs/>
            <w:color w:val="000000"/>
          </w:rPr>
          <w:t>In re Zyprexa,</w:t>
        </w:r>
        <w:r>
          <w:rPr>
            <w:color w:val="000000"/>
          </w:rPr>
          <w:t xml:space="preserve"> 424 F.Supp.2d at 490–91</w:t>
        </w:r>
      </w:hyperlink>
      <w:r>
        <w:rPr>
          <w:color w:val="000000"/>
        </w:rPr>
        <w:t xml:space="preserve"> (capping attorneys’ fees at 20% for one class of plaintiffs); </w:t>
      </w:r>
      <w:hyperlink r:id="rId105" w:history="1">
        <w:r>
          <w:rPr>
            <w:i/>
            <w:iCs/>
            <w:color w:val="000000"/>
          </w:rPr>
          <w:t>In re Guidant,</w:t>
        </w:r>
        <w:r>
          <w:rPr>
            <w:color w:val="000000"/>
          </w:rPr>
          <w:t xml:space="preserve"> 2008 WL 3896006, at *10</w:t>
        </w:r>
      </w:hyperlink>
      <w:r>
        <w:rPr>
          <w:color w:val="000000"/>
        </w:rPr>
        <w:t xml:space="preserve"> (limiting con</w:t>
      </w:r>
      <w:r>
        <w:rPr>
          <w:color w:val="000000"/>
        </w:rPr>
        <w:t>tingency fees to 28%).</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Finally, the district court did not abuse its discretion in being mindful of public policy concerns. The district court was keenly aware that the funds available to these victims are limited. It recognized that overcompensation of </w:t>
      </w:r>
      <w:r>
        <w:rPr>
          <w:color w:val="000000"/>
        </w:rPr>
        <w:t>attorneys would take away money from needy plaintiffs, and it was rightfully sensitive to the public perception of overall fairness.</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In short, we hold that the district court acted reasonably in limiting plaintiffs’ attorneys’ fees to 25% of the base set</w:t>
      </w:r>
      <w:r>
        <w:rPr>
          <w:color w:val="000000"/>
        </w:rPr>
        <w:t xml:space="preserve">tlement amounts, approximately $187 million, and it did not abuse its discretion in precluding </w:t>
      </w:r>
      <w:bookmarkStart w:id="69" w:name="co_pp_sp_506_128_1"/>
      <w:bookmarkEnd w:id="69"/>
      <w:r>
        <w:rPr>
          <w:b/>
          <w:bCs/>
          <w:color w:val="000000"/>
        </w:rPr>
        <w:t>*128</w:t>
      </w:r>
      <w:r>
        <w:rPr>
          <w:color w:val="000000"/>
        </w:rPr>
        <w:t xml:space="preserve"> plaintiffs’ attorneys from recovering a contingency fee from the Bonus Payment.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70" w:name="co_anchor_Ic488eb4c453811e498db8b09b4f04"/>
      <w:bookmarkEnd w:id="70"/>
    </w:p>
    <w:p w:rsidR="00000000" w:rsidRDefault="002262B3">
      <w:pPr>
        <w:widowControl w:val="0"/>
        <w:autoSpaceDE w:val="0"/>
        <w:autoSpaceDN w:val="0"/>
        <w:adjustRightInd w:val="0"/>
        <w:spacing w:before="200"/>
        <w:ind w:left="200"/>
        <w:rPr>
          <w:b/>
          <w:bCs/>
          <w:i/>
          <w:iCs/>
          <w:color w:val="000000"/>
        </w:rPr>
      </w:pPr>
      <w:r>
        <w:rPr>
          <w:b/>
          <w:bCs/>
          <w:color w:val="000000"/>
        </w:rPr>
        <w:t xml:space="preserve">b. </w:t>
      </w:r>
      <w:r>
        <w:rPr>
          <w:b/>
          <w:bCs/>
          <w:i/>
          <w:iCs/>
          <w:color w:val="000000"/>
        </w:rPr>
        <w:t>The First Contingent Payment</w:t>
      </w:r>
    </w:p>
    <w:p w:rsidR="00000000" w:rsidRDefault="002262B3">
      <w:pPr>
        <w:widowControl w:val="0"/>
        <w:autoSpaceDE w:val="0"/>
        <w:autoSpaceDN w:val="0"/>
        <w:adjustRightInd w:val="0"/>
        <w:jc w:val="both"/>
        <w:rPr>
          <w:color w:val="000000"/>
        </w:rPr>
      </w:pPr>
      <w:r>
        <w:rPr>
          <w:color w:val="000000"/>
        </w:rPr>
        <w:t>Plaintiffs’ counsel also appeal from the district court’s denial of any attorneys’ fee with respect to the First Contingent Payment. As we have reversed the district court’s order c</w:t>
      </w:r>
      <w:r>
        <w:rPr>
          <w:color w:val="000000"/>
        </w:rPr>
        <w:t>ompelling defendants to make the First Contingent Payment, the appeal from this aspect of the district court’s rulings is moot.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bookmarkStart w:id="71" w:name="co_anchor_Ic488eb4d453811e498db8b09b4f04"/>
      <w:bookmarkEnd w:id="71"/>
    </w:p>
    <w:p w:rsidR="00000000" w:rsidRDefault="002262B3">
      <w:pPr>
        <w:widowControl w:val="0"/>
        <w:autoSpaceDE w:val="0"/>
        <w:autoSpaceDN w:val="0"/>
        <w:adjustRightInd w:val="0"/>
        <w:spacing w:before="400" w:after="200"/>
        <w:jc w:val="center"/>
        <w:rPr>
          <w:b/>
          <w:bCs/>
          <w:i/>
          <w:iCs/>
          <w:color w:val="000000"/>
        </w:rPr>
      </w:pPr>
      <w:r>
        <w:rPr>
          <w:b/>
          <w:bCs/>
          <w:i/>
          <w:iCs/>
          <w:color w:val="000000"/>
        </w:rPr>
        <w:t>CONCLUSION</w:t>
      </w:r>
    </w:p>
    <w:p w:rsidR="00000000" w:rsidRDefault="002262B3">
      <w:pPr>
        <w:widowControl w:val="0"/>
        <w:autoSpaceDE w:val="0"/>
        <w:autoSpaceDN w:val="0"/>
        <w:adjustRightInd w:val="0"/>
        <w:jc w:val="both"/>
        <w:rPr>
          <w:color w:val="000000"/>
        </w:rPr>
      </w:pPr>
      <w:r>
        <w:rPr>
          <w:color w:val="000000"/>
        </w:rPr>
        <w:t>For the reasons set forth above, we:</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1. </w:t>
      </w:r>
      <w:r>
        <w:rPr>
          <w:b/>
          <w:bCs/>
          <w:color w:val="000000"/>
        </w:rPr>
        <w:t>VACATE</w:t>
      </w:r>
      <w:r>
        <w:rPr>
          <w:color w:val="000000"/>
        </w:rPr>
        <w:t xml:space="preserve"> the order of the district court with respect to the Bonus Payment and </w:t>
      </w:r>
      <w:r>
        <w:rPr>
          <w:b/>
          <w:bCs/>
          <w:color w:val="000000"/>
        </w:rPr>
        <w:t>REMAND</w:t>
      </w:r>
      <w:r>
        <w:rPr>
          <w:color w:val="000000"/>
        </w:rPr>
        <w:t xml:space="preserve"> for further proceedings in this respect;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2. </w:t>
      </w:r>
      <w:r>
        <w:rPr>
          <w:b/>
          <w:bCs/>
          <w:color w:val="000000"/>
        </w:rPr>
        <w:t>REVERSE</w:t>
      </w:r>
      <w:r>
        <w:rPr>
          <w:color w:val="000000"/>
        </w:rPr>
        <w:t xml:space="preserve"> the order of the district court as to the Contingent Payment;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3. </w:t>
      </w:r>
      <w:r>
        <w:rPr>
          <w:b/>
          <w:bCs/>
          <w:color w:val="000000"/>
        </w:rPr>
        <w:t>AFFIRM</w:t>
      </w:r>
      <w:r>
        <w:rPr>
          <w:color w:val="000000"/>
        </w:rPr>
        <w:t xml:space="preserve"> the order of the district court denying a contingency attorneys’ fee as to the Bonus Payment; and</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jc w:val="both"/>
        <w:rPr>
          <w:color w:val="000000"/>
        </w:rPr>
      </w:pPr>
      <w:r>
        <w:rPr>
          <w:color w:val="000000"/>
        </w:rPr>
        <w:t xml:space="preserve">4. </w:t>
      </w:r>
      <w:r>
        <w:rPr>
          <w:b/>
          <w:bCs/>
          <w:color w:val="000000"/>
        </w:rPr>
        <w:t>DISMISS</w:t>
      </w:r>
      <w:r>
        <w:rPr>
          <w:color w:val="000000"/>
        </w:rPr>
        <w:t xml:space="preserve"> the appeal from the order denying a contingency attorneys’ fee as to the First Contingent Payment.</w:t>
      </w:r>
    </w:p>
    <w:p w:rsidR="00000000" w:rsidRDefault="002262B3">
      <w:pPr>
        <w:widowControl w:val="0"/>
        <w:autoSpaceDE w:val="0"/>
        <w:autoSpaceDN w:val="0"/>
        <w:adjustRightInd w:val="0"/>
        <w:jc w:val="both"/>
        <w:rPr>
          <w:color w:val="000000"/>
        </w:rPr>
      </w:pPr>
      <w:r>
        <w:rPr>
          <w:color w:val="000000"/>
        </w:rPr>
        <w:t> </w:t>
      </w:r>
    </w:p>
    <w:p w:rsidR="00000000" w:rsidRDefault="002262B3">
      <w:pPr>
        <w:widowControl w:val="0"/>
        <w:autoSpaceDE w:val="0"/>
        <w:autoSpaceDN w:val="0"/>
        <w:adjustRightInd w:val="0"/>
        <w:spacing w:before="400" w:after="200"/>
        <w:jc w:val="both"/>
        <w:rPr>
          <w:b/>
          <w:bCs/>
          <w:color w:val="212121"/>
        </w:rPr>
      </w:pPr>
      <w:bookmarkStart w:id="72" w:name="co_allCitations_1"/>
      <w:bookmarkEnd w:id="72"/>
      <w:r>
        <w:rPr>
          <w:b/>
          <w:bCs/>
          <w:color w:val="212121"/>
        </w:rPr>
        <w:t>All Citat</w:t>
      </w:r>
      <w:r>
        <w:rPr>
          <w:b/>
          <w:bCs/>
          <w:color w:val="212121"/>
        </w:rPr>
        <w:t>ions</w:t>
      </w:r>
    </w:p>
    <w:p w:rsidR="00000000" w:rsidRDefault="002262B3">
      <w:pPr>
        <w:widowControl w:val="0"/>
        <w:autoSpaceDE w:val="0"/>
        <w:autoSpaceDN w:val="0"/>
        <w:adjustRightInd w:val="0"/>
        <w:jc w:val="both"/>
        <w:rPr>
          <w:color w:val="000000"/>
        </w:rPr>
      </w:pPr>
      <w:r>
        <w:rPr>
          <w:color w:val="000000"/>
        </w:rPr>
        <w:t>754 F.3d 114</w:t>
      </w:r>
    </w:p>
    <w:p w:rsidR="00000000" w:rsidRDefault="002262B3">
      <w:pPr>
        <w:widowControl w:val="0"/>
        <w:autoSpaceDE w:val="0"/>
        <w:autoSpaceDN w:val="0"/>
        <w:adjustRightInd w:val="0"/>
        <w:rPr>
          <w:rFonts w:ascii="sans-serif" w:hAnsi="sans-serif" w:cs="sans-serif"/>
          <w:color w:val="000000"/>
          <w:sz w:val="24"/>
          <w:szCs w:val="24"/>
        </w:rPr>
      </w:pPr>
    </w:p>
    <w:p w:rsidR="00000000" w:rsidRDefault="002262B3">
      <w:pPr>
        <w:widowControl w:val="0"/>
        <w:autoSpaceDE w:val="0"/>
        <w:autoSpaceDN w:val="0"/>
        <w:adjustRightInd w:val="0"/>
        <w:rPr>
          <w:rFonts w:ascii="Arial" w:hAnsi="Arial" w:cs="Arial"/>
          <w:sz w:val="24"/>
          <w:szCs w:val="24"/>
        </w:rPr>
        <w:sectPr w:rsidR="00000000">
          <w:type w:val="continuous"/>
          <w:pgSz w:w="12240" w:h="15840"/>
          <w:pgMar w:top="180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2262B3">
            <w:pPr>
              <w:widowControl w:val="0"/>
              <w:autoSpaceDE w:val="0"/>
              <w:autoSpaceDN w:val="0"/>
              <w:adjustRightInd w:val="0"/>
              <w:ind w:left="24" w:right="24"/>
              <w:rPr>
                <w:rFonts w:ascii="sans-serif" w:hAnsi="sans-serif" w:cs="sans-serif"/>
                <w:b/>
                <w:bCs/>
                <w:color w:val="777777"/>
                <w:sz w:val="16"/>
                <w:szCs w:val="16"/>
              </w:rPr>
            </w:pPr>
            <w:r>
              <w:rPr>
                <w:rFonts w:ascii="sans-serif" w:hAnsi="sans-serif" w:cs="sans-serif"/>
                <w:b/>
                <w:bCs/>
                <w:color w:val="777777"/>
                <w:sz w:val="16"/>
                <w:szCs w:val="16"/>
              </w:rPr>
              <w:t>End of Document</w:t>
            </w:r>
          </w:p>
          <w:p w:rsidR="00000000" w:rsidRDefault="002262B3">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2262B3">
            <w:pPr>
              <w:widowControl w:val="0"/>
              <w:autoSpaceDE w:val="0"/>
              <w:autoSpaceDN w:val="0"/>
              <w:adjustRightInd w:val="0"/>
              <w:ind w:left="24" w:right="24"/>
              <w:jc w:val="right"/>
              <w:rPr>
                <w:rFonts w:ascii="sans-serif" w:hAnsi="sans-serif" w:cs="sans-serif"/>
                <w:color w:val="777777"/>
                <w:sz w:val="16"/>
                <w:szCs w:val="16"/>
              </w:rPr>
            </w:pPr>
            <w:r>
              <w:rPr>
                <w:rFonts w:ascii="sans-serif" w:hAnsi="sans-serif" w:cs="sans-serif"/>
                <w:color w:val="777777"/>
                <w:sz w:val="16"/>
                <w:szCs w:val="16"/>
              </w:rPr>
              <w:t>©</w:t>
            </w:r>
            <w:r>
              <w:rPr>
                <w:rFonts w:ascii="sans-serif" w:hAnsi="sans-serif" w:cs="sans-serif"/>
                <w:color w:val="777777"/>
                <w:sz w:val="16"/>
                <w:szCs w:val="16"/>
              </w:rPr>
              <w:t xml:space="preserve"> 2017 Thomson Reuters. No claim to original U.S. Government Works.</w:t>
            </w:r>
          </w:p>
          <w:p w:rsidR="00000000" w:rsidRDefault="002262B3">
            <w:pPr>
              <w:widowControl w:val="0"/>
              <w:autoSpaceDE w:val="0"/>
              <w:autoSpaceDN w:val="0"/>
              <w:adjustRightInd w:val="0"/>
              <w:ind w:left="24" w:right="24"/>
              <w:jc w:val="right"/>
              <w:rPr>
                <w:rFonts w:ascii="sans-serif" w:hAnsi="sans-serif" w:cs="sans-serif"/>
                <w:color w:val="777777"/>
                <w:sz w:val="16"/>
                <w:szCs w:val="16"/>
              </w:rPr>
            </w:pPr>
          </w:p>
        </w:tc>
      </w:tr>
    </w:tbl>
    <w:p w:rsidR="00000000" w:rsidRDefault="002262B3">
      <w:pPr>
        <w:widowControl w:val="0"/>
        <w:autoSpaceDE w:val="0"/>
        <w:autoSpaceDN w:val="0"/>
        <w:adjustRightInd w:val="0"/>
        <w:rPr>
          <w:rFonts w:ascii="Arial" w:hAnsi="Arial" w:cs="Arial"/>
          <w:sz w:val="24"/>
          <w:szCs w:val="24"/>
        </w:rPr>
      </w:pPr>
    </w:p>
    <w:p w:rsidR="00000000" w:rsidRDefault="002262B3">
      <w:pPr>
        <w:widowControl w:val="0"/>
        <w:autoSpaceDE w:val="0"/>
        <w:autoSpaceDN w:val="0"/>
        <w:adjustRightInd w:val="0"/>
        <w:rPr>
          <w:sz w:val="24"/>
          <w:szCs w:val="24"/>
        </w:rPr>
      </w:pPr>
    </w:p>
    <w:p w:rsidR="00000000" w:rsidRDefault="002262B3">
      <w:pPr>
        <w:widowControl w:val="0"/>
        <w:autoSpaceDE w:val="0"/>
        <w:autoSpaceDN w:val="0"/>
        <w:adjustRightInd w:val="0"/>
        <w:rPr>
          <w:rFonts w:ascii="Arial" w:hAnsi="Arial" w:cs="Arial"/>
          <w:sz w:val="24"/>
          <w:szCs w:val="24"/>
        </w:rPr>
        <w:sectPr w:rsidR="00000000">
          <w:type w:val="continuous"/>
          <w:pgSz w:w="12240" w:h="15840"/>
          <w:pgMar w:top="1800" w:right="1080" w:bottom="1080" w:left="1080" w:header="720" w:footer="720" w:gutter="0"/>
          <w:cols w:space="720"/>
          <w:noEndnote/>
        </w:sectPr>
      </w:pPr>
    </w:p>
    <w:p w:rsidR="00000000" w:rsidRDefault="002262B3">
      <w:pPr>
        <w:widowControl w:val="0"/>
        <w:autoSpaceDE w:val="0"/>
        <w:autoSpaceDN w:val="0"/>
        <w:adjustRightInd w:val="0"/>
        <w:rPr>
          <w:rFonts w:ascii="Arial" w:hAnsi="Arial" w:cs="Arial"/>
          <w:sz w:val="24"/>
          <w:szCs w:val="24"/>
        </w:rPr>
      </w:pPr>
    </w:p>
    <w:sectPr w:rsidR="00000000">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62B3">
      <w:r>
        <w:separator/>
      </w:r>
    </w:p>
  </w:endnote>
  <w:endnote w:type="continuationSeparator" w:id="0">
    <w:p w:rsidR="00000000" w:rsidRDefault="0022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ans-serif">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2262B3">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extent cx="745490" cy="98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98425"/>
                        </a:xfrm>
                        <a:prstGeom prst="rect">
                          <a:avLst/>
                        </a:prstGeom>
                        <a:noFill/>
                        <a:ln>
                          <a:noFill/>
                        </a:ln>
                      </pic:spPr>
                    </pic:pic>
                  </a:graphicData>
                </a:graphic>
              </wp:inline>
            </w:drawing>
          </w:r>
          <w:r>
            <w:rPr>
              <w:rFonts w:ascii="Arial" w:hAnsi="Arial" w:cs="Arial"/>
              <w:color w:val="AAAAAA"/>
            </w:rPr>
            <w:t xml:space="preserve"> </w:t>
          </w:r>
          <w:r>
            <w:rPr>
              <w:rFonts w:ascii="Arial" w:hAnsi="Arial" w:cs="Arial"/>
              <w:color w:val="AAAAAA"/>
            </w:rPr>
            <w:t>©</w:t>
          </w:r>
          <w:r>
            <w:rPr>
              <w:rFonts w:ascii="Arial" w:hAnsi="Arial" w:cs="Arial"/>
              <w:color w:val="AAAAAA"/>
            </w:rPr>
            <w:t xml:space="preserve"> 2017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2262B3">
          <w:pPr>
            <w:widowControl w:val="0"/>
            <w:autoSpaceDE w:val="0"/>
            <w:autoSpaceDN w:val="0"/>
            <w:adjustRightInd w:val="0"/>
            <w:jc w:val="right"/>
            <w:rPr>
              <w:rFonts w:ascii="Arial" w:hAnsi="Arial" w:cs="Arial"/>
              <w:color w:val="AAAAAA"/>
            </w:rPr>
          </w:pPr>
          <w:r>
            <w:rPr>
              <w:rFonts w:ascii="Arial" w:hAnsi="Arial" w:cs="Arial"/>
              <w:color w:val="AAAAAA"/>
            </w:rPr>
            <w:pgNum/>
          </w:r>
        </w:p>
      </w:tc>
    </w:tr>
  </w:tbl>
  <w:p w:rsidR="00000000" w:rsidRDefault="002262B3">
    <w:pPr>
      <w:widowControl w:val="0"/>
      <w:autoSpaceDE w:val="0"/>
      <w:autoSpaceDN w:val="0"/>
      <w:adjustRightInd w:val="0"/>
      <w:rPr>
        <w:rFonts w:ascii="Arial" w:hAnsi="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62B3">
      <w:r>
        <w:separator/>
      </w:r>
    </w:p>
  </w:footnote>
  <w:footnote w:type="continuationSeparator" w:id="0">
    <w:p w:rsidR="00000000" w:rsidRDefault="002262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rPr>
        <w:gridAfter w:val="1"/>
        <w:wAfter w:w="700" w:type="dxa"/>
      </w:trPr>
      <w:tc>
        <w:tcPr>
          <w:tcW w:w="9380" w:type="dxa"/>
          <w:tcBorders>
            <w:top w:val="nil"/>
            <w:left w:val="nil"/>
            <w:bottom w:val="nil"/>
            <w:right w:val="nil"/>
          </w:tcBorders>
          <w:tcMar>
            <w:top w:w="400" w:type="dxa"/>
            <w:bottom w:w="60" w:type="dxa"/>
          </w:tcMar>
          <w:vAlign w:val="bottom"/>
        </w:tcPr>
        <w:p w:rsidR="00000000" w:rsidRDefault="002262B3">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Burch, Elizabeth</w:t>
          </w:r>
          <w:r>
            <w:rPr>
              <w:rFonts w:ascii="Arial" w:hAnsi="Arial" w:cs="Arial"/>
              <w:color w:val="000000"/>
              <w:sz w:val="18"/>
              <w:szCs w:val="18"/>
            </w:rPr>
            <w:t xml:space="preserve"> </w:t>
          </w:r>
          <w:r>
            <w:rPr>
              <w:rFonts w:ascii="Arial" w:hAnsi="Arial" w:cs="Arial"/>
              <w:b/>
              <w:bCs/>
              <w:color w:val="000000"/>
              <w:sz w:val="18"/>
              <w:szCs w:val="18"/>
            </w:rPr>
            <w:t>3/16/2017</w:t>
          </w:r>
        </w:p>
        <w:p w:rsidR="00000000" w:rsidRDefault="002262B3">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2262B3">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In re World Trade Center Disaster Site Litigation, 754 F.3d 114 (2014)</w:t>
          </w:r>
        </w:p>
      </w:tc>
      <w:tc>
        <w:tcPr>
          <w:tcW w:w="700" w:type="dxa"/>
          <w:tcBorders>
            <w:top w:val="nil"/>
            <w:left w:val="nil"/>
            <w:bottom w:val="single" w:sz="8" w:space="0" w:color="AAAAAA"/>
            <w:right w:val="nil"/>
          </w:tcBorders>
          <w:tcMar>
            <w:top w:w="400" w:type="dxa"/>
            <w:bottom w:w="60" w:type="dxa"/>
          </w:tcMar>
        </w:tcPr>
        <w:p w:rsidR="00000000" w:rsidRDefault="002262B3">
          <w:pPr>
            <w:widowControl w:val="0"/>
            <w:autoSpaceDE w:val="0"/>
            <w:autoSpaceDN w:val="0"/>
            <w:adjustRightInd w:val="0"/>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2262B3">
          <w:pPr>
            <w:widowControl w:val="0"/>
            <w:autoSpaceDE w:val="0"/>
            <w:autoSpaceDN w:val="0"/>
            <w:adjustRightInd w:val="0"/>
            <w:rPr>
              <w:rFonts w:ascii="Arial" w:hAnsi="Arial" w:cs="Arial"/>
              <w:color w:val="000000"/>
              <w:sz w:val="18"/>
              <w:szCs w:val="18"/>
            </w:rPr>
          </w:pPr>
        </w:p>
      </w:tc>
    </w:tr>
  </w:tbl>
  <w:p w:rsidR="00000000" w:rsidRDefault="002262B3">
    <w:pPr>
      <w:widowControl w:val="0"/>
      <w:autoSpaceDE w:val="0"/>
      <w:autoSpaceDN w:val="0"/>
      <w:adjustRightInd w:val="0"/>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B3"/>
    <w:rsid w:val="0022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westlaw.com/Link/Document/FullText?findType=Y&amp;serNum=1982148748&amp;pubNum=0000350&amp;originatingDoc=Ib3fd6f52efe011e3a795ac035416da91&amp;refType=RP&amp;fi=co_pp_sp_350_1111&amp;originationContext=document&amp;vr=3.0&amp;rs=cblt1.0&amp;transitionType=DocumentItem&amp;contextData=(sc.UserEnteredCitation)#co_pp_sp_350_1111" TargetMode="External"/><Relationship Id="rId102" Type="http://schemas.openxmlformats.org/officeDocument/2006/relationships/hyperlink" Target="http://www.westlaw.com/Link/Document/FullText?findType=Y&amp;serNum=2019556522&amp;pubNum=0004637&amp;originatingDoc=Ib3fd6f52efe011e3a795ac035416da91&amp;refType=RP&amp;fi=co_pp_sp_4637_561&amp;originationContext=document&amp;vr=3.0&amp;rs=cblt1.0&amp;transitionType=DocumentItem&amp;contextData=(sc.UserEnteredCitation)#co_pp_sp_4637_561" TargetMode="External"/><Relationship Id="rId103" Type="http://schemas.openxmlformats.org/officeDocument/2006/relationships/hyperlink" Target="http://www.westlaw.com/Link/Document/FullText?findType=Y&amp;serNum=2008782329&amp;pubNum=0004637&amp;originatingDoc=Ib3fd6f52efe011e3a795ac035416da91&amp;refType=RP&amp;fi=co_pp_sp_4637_490&amp;originationContext=document&amp;vr=3.0&amp;rs=cblt1.0&amp;transitionType=DocumentItem&amp;contextData=(sc.UserEnteredCitation)#co_pp_sp_4637_490" TargetMode="External"/><Relationship Id="rId104" Type="http://schemas.openxmlformats.org/officeDocument/2006/relationships/hyperlink" Target="http://www.westlaw.com/Link/Document/FullText?findType=Y&amp;serNum=2008782329&amp;pubNum=0004637&amp;originatingDoc=Ib3fd6f52efe011e3a795ac035416da91&amp;refType=RP&amp;fi=co_pp_sp_4637_490&amp;originationContext=document&amp;vr=3.0&amp;rs=cblt1.0&amp;transitionType=DocumentItem&amp;contextData=(sc.UserEnteredCitation)#co_pp_sp_4637_490" TargetMode="External"/><Relationship Id="rId105" Type="http://schemas.openxmlformats.org/officeDocument/2006/relationships/hyperlink" Target="http://www.westlaw.com/Link/Document/FullText?findType=Y&amp;serNum=2016827938&amp;pubNum=0000999&amp;originatingDoc=Ib3fd6f52efe011e3a795ac035416da91&amp;refType=RP&amp;originationContext=document&amp;vr=3.0&amp;rs=cblt1.0&amp;transitionType=DocumentItem&amp;contextData=(sc.UserEnteredCitation)" TargetMode="Externa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westlaw.com/Search/Results.html?query=advanced%3a+OAID(5006047797)&amp;saveJuris=False&amp;contentType=BUSINESS-INVESTIGATOR&amp;startIndex=1&amp;contextData=(sc.Default)&amp;categoryPageUrl=Home%2fCompanyInvestigator&amp;originationContext=document&amp;vr=3.0&amp;rs=cblt1.0&amp;transitionType=DocumentItem" TargetMode="External"/><Relationship Id="rId10" Type="http://schemas.openxmlformats.org/officeDocument/2006/relationships/hyperlink" Target="http://www.westlaw.com/Link/Document/FullText?findType=Y&amp;serNum=2026732197&amp;pubNum=0004637&amp;originatingDoc=Ib3fd6f52efe011e3a795ac035416da91&amp;refType=RP&amp;originationContext=document&amp;vr=3.0&amp;rs=cblt1.0&amp;transitionType=DocumentItem&amp;contextData=(sc.UserEnteredCitation)" TargetMode="External"/><Relationship Id="rId11" Type="http://schemas.openxmlformats.org/officeDocument/2006/relationships/hyperlink" Target="http://www.westlaw.com/Link/Document/FullText?findType=Y&amp;serNum=2028279816&amp;pubNum=0004637&amp;originatingDoc=Ib3fd6f52efe011e3a795ac035416da91&amp;refType=RP&amp;originationContext=document&amp;vr=3.0&amp;rs=cblt1.0&amp;transitionType=DocumentItem&amp;contextData=(sc.UserEnteredCitation)" TargetMode="External"/><Relationship Id="rId12" Type="http://schemas.openxmlformats.org/officeDocument/2006/relationships/hyperlink" Target="http://www.westlaw.com/Link/Document/FullText?findType=h&amp;pubNum=176284&amp;cite=0108604601&amp;originatingDoc=Ib3fd6f52efe011e3a795ac035416da91&amp;refType=RQ&amp;originationContext=document&amp;vr=3.0&amp;rs=cblt1.0&amp;transitionType=DocumentItem&amp;contextData=(sc.UserEnteredCitation)" TargetMode="External"/><Relationship Id="rId13" Type="http://schemas.openxmlformats.org/officeDocument/2006/relationships/hyperlink" Target="#co_anchor_F132033547687_1" TargetMode="External"/><Relationship Id="rId14" Type="http://schemas.openxmlformats.org/officeDocument/2006/relationships/hyperlink" Target="#co_anchor_F142033547687_1" TargetMode="External"/><Relationship Id="rId15" Type="http://schemas.openxmlformats.org/officeDocument/2006/relationships/hyperlink" Target="#co_anchor_F182033547687_1" TargetMode="External"/><Relationship Id="rId16" Type="http://schemas.openxmlformats.org/officeDocument/2006/relationships/hyperlink" Target="http://www.westlaw.com/Link/Document/FullText?findType=h&amp;pubNum=176284&amp;cite=0323386701&amp;originatingDoc=Ib3fd6f52efe011e3a795ac035416da91&amp;refType=RQ&amp;originationContext=document&amp;vr=3.0&amp;rs=cblt1.0&amp;transitionType=DocumentItem&amp;contextData=(sc.UserEnteredCitation)" TargetMode="External"/><Relationship Id="rId17" Type="http://schemas.openxmlformats.org/officeDocument/2006/relationships/hyperlink" Target="http://www.westlaw.com/Link/Document/FullText?findType=h&amp;pubNum=176284&amp;cite=0201039301&amp;originatingDoc=Ib3fd6f52efe011e3a795ac035416da91&amp;refType=RQ&amp;originationContext=document&amp;vr=3.0&amp;rs=cblt1.0&amp;transitionType=DocumentItem&amp;contextData=(sc.UserEnteredCitation)" TargetMode="External"/><Relationship Id="rId18" Type="http://schemas.openxmlformats.org/officeDocument/2006/relationships/hyperlink" Target="http://www.westlaw.com/Link/Document/FullText?findType=h&amp;pubNum=176284&amp;cite=0199193901&amp;originatingDoc=Ib3fd6f52efe011e3a795ac035416da91&amp;refType=RQ&amp;originationContext=document&amp;vr=3.0&amp;rs=cblt1.0&amp;transitionType=DocumentItem&amp;contextData=(sc.UserEnteredCitation)" TargetMode="External"/><Relationship Id="rId19" Type="http://schemas.openxmlformats.org/officeDocument/2006/relationships/hyperlink" Target="http://www.westlaw.com/Link/Document/FullText?findType=h&amp;pubNum=176284&amp;cite=0151812701&amp;originatingDoc=Ib3fd6f52efe011e3a795ac035416da91&amp;refType=RQ&amp;originationContext=document&amp;vr=3.0&amp;rs=cblt1.0&amp;transitionType=DocumentItem&amp;contextData=(sc.UserEnteredCitation)" TargetMode="External"/><Relationship Id="rId30" Type="http://schemas.openxmlformats.org/officeDocument/2006/relationships/hyperlink" Target="http://www.westlaw.com/Link/Document/FullText?findType=h&amp;pubNum=176284&amp;cite=0329288001&amp;originatingDoc=Ib3fd6f52efe011e3a795ac035416da91&amp;refType=RQ&amp;originationContext=document&amp;vr=3.0&amp;rs=cblt1.0&amp;transitionType=DocumentItem&amp;contextData=(sc.UserEnteredCitation)" TargetMode="External"/><Relationship Id="rId31" Type="http://schemas.openxmlformats.org/officeDocument/2006/relationships/hyperlink" Target="http://www.westlaw.com/Link/Document/FullText?findType=h&amp;pubNum=176284&amp;cite=0329784901&amp;originatingDoc=Ib3fd6f52efe011e3a795ac035416da91&amp;refType=RQ&amp;originationContext=document&amp;vr=3.0&amp;rs=cblt1.0&amp;transitionType=DocumentItem&amp;contextData=(sc.UserEnteredCitation)" TargetMode="External"/><Relationship Id="rId32" Type="http://schemas.openxmlformats.org/officeDocument/2006/relationships/hyperlink" Target="http://www.westlaw.com/Link/Document/FullText?findType=h&amp;pubNum=176284&amp;cite=0112927501&amp;originatingDoc=Ib3fd6f52efe011e3a795ac035416da91&amp;refType=RQ&amp;originationContext=document&amp;vr=3.0&amp;rs=cblt1.0&amp;transitionType=DocumentItem&amp;contextData=(sc.UserEnteredCitation)" TargetMode="External"/><Relationship Id="rId33" Type="http://schemas.openxmlformats.org/officeDocument/2006/relationships/hyperlink" Target="http://www.westlaw.com/Link/Document/FullText?findType=h&amp;pubNum=176284&amp;cite=0108604601&amp;originatingDoc=Ib3fd6f52efe011e3a795ac035416da91&amp;refType=RQ&amp;originationContext=document&amp;vr=3.0&amp;rs=cblt1.0&amp;transitionType=DocumentItem&amp;contextData=(sc.UserEnteredCitation)" TargetMode="External"/><Relationship Id="rId34" Type="http://schemas.openxmlformats.org/officeDocument/2006/relationships/hyperlink" Target="http://www.westlaw.com/Link/Document/FullText?findType=h&amp;pubNum=176284&amp;cite=0108604601&amp;originatingDoc=Ib3fd6f52efe011e3a795ac035416da91&amp;refType=RQ&amp;originationContext=document&amp;vr=3.0&amp;rs=cblt1.0&amp;transitionType=DocumentItem&amp;contextData=(sc.UserEnteredCitation)" TargetMode="External"/><Relationship Id="rId35" Type="http://schemas.openxmlformats.org/officeDocument/2006/relationships/hyperlink" Target="http://www.westlaw.com/Link/Document/FullText?findType=l&amp;pubNum=1077005&amp;cite=UUID(I67276E6F99-804D9E9793E-7CDBE942B9F)&amp;originatingDoc=Ib3fd6f52efe011e3a795ac035416da91&amp;refType=SL&amp;originationContext=document&amp;vr=3.0&amp;rs=cblt1.0&amp;transitionType=DocumentItem&amp;contextData=(sc.UserEnteredCitation)" TargetMode="External"/><Relationship Id="rId36" Type="http://schemas.openxmlformats.org/officeDocument/2006/relationships/hyperlink" Target="#co_anchor_F12033547687_1" TargetMode="External"/><Relationship Id="rId37" Type="http://schemas.openxmlformats.org/officeDocument/2006/relationships/hyperlink" Target="#co_anchor_F22033547687_1" TargetMode="External"/><Relationship Id="rId38" Type="http://schemas.openxmlformats.org/officeDocument/2006/relationships/hyperlink" Target="http://www.westlaw.com/Link/Document/FullText?findType=Y&amp;serNum=2002569144&amp;pubNum=0000506&amp;originatingDoc=Ib3fd6f52efe011e3a795ac035416da91&amp;refType=RP&amp;fi=co_pp_sp_506_433&amp;originationContext=document&amp;vr=3.0&amp;rs=cblt1.0&amp;transitionType=DocumentItem&amp;contextData=(sc.UserEnteredCitation)#co_pp_sp_506_433" TargetMode="External"/><Relationship Id="rId39" Type="http://schemas.openxmlformats.org/officeDocument/2006/relationships/hyperlink" Target="http://www.westlaw.com/Link/Document/FullText?findType=Y&amp;serNum=2013730563&amp;pubNum=0000506&amp;originatingDoc=Ib3fd6f52efe011e3a795ac035416da91&amp;refType=RP&amp;fi=co_pp_sp_506_247&amp;originationContext=document&amp;vr=3.0&amp;rs=cblt1.0&amp;transitionType=DocumentItem&amp;contextData=(sc.UserEnteredCitation)#co_pp_sp_506_247" TargetMode="External"/><Relationship Id="rId50" Type="http://schemas.openxmlformats.org/officeDocument/2006/relationships/hyperlink" Target="http://www.westlaw.com/Link/Document/FullText?findType=Y&amp;serNum=1982125808&amp;pubNum=0000578&amp;originatingDoc=Ib3fd6f52efe011e3a795ac035416da91&amp;refType=RP&amp;originationContext=document&amp;vr=3.0&amp;rs=cblt1.0&amp;transitionType=DocumentItem&amp;contextData=(sc.UserEnteredCitation)" TargetMode="External"/><Relationship Id="rId51" Type="http://schemas.openxmlformats.org/officeDocument/2006/relationships/hyperlink" Target="http://www.westlaw.com/Link/Document/FullText?findType=l&amp;pubNum=1077005&amp;cite=UUID(IF232A4EF01-2B4680B9BB5-4625D015292)&amp;originatingDoc=Ib3fd6f52efe011e3a795ac035416da91&amp;refType=SL&amp;originationContext=document&amp;vr=3.0&amp;rs=cblt1.0&amp;transitionType=DocumentItem&amp;contextData=(sc.UserEnteredCitation)" TargetMode="External"/><Relationship Id="rId52" Type="http://schemas.openxmlformats.org/officeDocument/2006/relationships/hyperlink" Target="http://www.westlaw.com/Link/Document/FullText?findType=L&amp;pubNum=1000546&amp;cite=49USCAS40101&amp;originatingDoc=Ib3fd6f52efe011e3a795ac035416da91&amp;refType=LQ&amp;originationContext=document&amp;vr=3.0&amp;rs=cblt1.0&amp;transitionType=DocumentItem&amp;contextData=(sc.UserEnteredCitation)" TargetMode="External"/><Relationship Id="rId53" Type="http://schemas.openxmlformats.org/officeDocument/2006/relationships/hyperlink" Target="#co_anchor_F72033547687_1" TargetMode="External"/><Relationship Id="rId54" Type="http://schemas.openxmlformats.org/officeDocument/2006/relationships/hyperlink" Target="#co_anchor_F82033547687_1" TargetMode="External"/><Relationship Id="rId55" Type="http://schemas.openxmlformats.org/officeDocument/2006/relationships/hyperlink" Target="#co_anchor_F92033547687_1" TargetMode="External"/><Relationship Id="rId56" Type="http://schemas.openxmlformats.org/officeDocument/2006/relationships/hyperlink" Target="http://www.westlaw.com/Link/Document/FullText?findType=Y&amp;serNum=2021396666&amp;pubNum=0000506&amp;originatingDoc=Ib3fd6f52efe011e3a795ac035416da91&amp;refType=RP&amp;fi=co_pp_sp_506_466&amp;originationContext=document&amp;vr=3.0&amp;rs=cblt1.0&amp;transitionType=DocumentItem&amp;contextData=(sc.UserEnteredCitation)#co_pp_sp_506_466" TargetMode="External"/><Relationship Id="rId57" Type="http://schemas.openxmlformats.org/officeDocument/2006/relationships/hyperlink" Target="http://www.westlaw.com/Link/Document/FullText?findType=Y&amp;serNum=2001589654&amp;pubNum=0000578&amp;originatingDoc=Ib3fd6f52efe011e3a795ac035416da91&amp;refType=RP&amp;originationContext=document&amp;vr=3.0&amp;rs=cblt1.0&amp;transitionType=DocumentItem&amp;contextData=(sc.UserEnteredCitation)" TargetMode="External"/><Relationship Id="rId58" Type="http://schemas.openxmlformats.org/officeDocument/2006/relationships/hyperlink" Target="http://www.westlaw.com/Link/Document/FullText?findType=Y&amp;serNum=2020367467&amp;pubNum=0000602&amp;originatingDoc=Ib3fd6f52efe011e3a795ac035416da91&amp;refType=RP&amp;fi=co_pp_sp_602_300&amp;originationContext=document&amp;vr=3.0&amp;rs=cblt1.0&amp;transitionType=DocumentItem&amp;contextData=(sc.UserEnteredCitation)#co_pp_sp_602_300" TargetMode="External"/><Relationship Id="rId59" Type="http://schemas.openxmlformats.org/officeDocument/2006/relationships/hyperlink" Target="#co_anchor_F102033547687_1" TargetMode="External"/><Relationship Id="rId70" Type="http://schemas.openxmlformats.org/officeDocument/2006/relationships/hyperlink" Target="http://www.westlaw.com/Link/Document/FullText?findType=Y&amp;serNum=2001589654&amp;pubNum=0000578&amp;originatingDoc=Ib3fd6f52efe011e3a795ac035416da91&amp;refType=RP&amp;originationContext=document&amp;vr=3.0&amp;rs=cblt1.0&amp;transitionType=DocumentItem&amp;contextData=(sc.UserEnteredCitation)" TargetMode="External"/><Relationship Id="rId71" Type="http://schemas.openxmlformats.org/officeDocument/2006/relationships/hyperlink" Target="http://www.westlaw.com/Link/Document/FullText?findType=Y&amp;serNum=2010688338&amp;pubNum=0000578&amp;originatingDoc=Ib3fd6f52efe011e3a795ac035416da91&amp;refType=RP&amp;originationContext=document&amp;vr=3.0&amp;rs=cblt1.0&amp;transitionType=DocumentItem&amp;contextData=(sc.UserEnteredCitation)" TargetMode="External"/><Relationship Id="rId72" Type="http://schemas.openxmlformats.org/officeDocument/2006/relationships/hyperlink" Target="http://www.westlaw.com/Link/Document/FullText?findType=Y&amp;serNum=1983152105&amp;pubNum=0000602&amp;originatingDoc=Ib3fd6f52efe011e3a795ac035416da91&amp;refType=RP&amp;fi=co_pp_sp_602_654&amp;originationContext=document&amp;vr=3.0&amp;rs=cblt1.0&amp;transitionType=DocumentItem&amp;contextData=(sc.UserEnteredCitation)#co_pp_sp_602_654" TargetMode="External"/><Relationship Id="rId73" Type="http://schemas.openxmlformats.org/officeDocument/2006/relationships/hyperlink" Target="#co_anchor_F132033547687_1" TargetMode="External"/><Relationship Id="rId74" Type="http://schemas.openxmlformats.org/officeDocument/2006/relationships/hyperlink" Target="http://www.westlaw.com/Link/Document/FullText?findType=Y&amp;serNum=1977127685&amp;pubNum=0000578&amp;originatingDoc=Ib3fd6f52efe011e3a795ac035416da91&amp;refType=RP&amp;originationContext=document&amp;vr=3.0&amp;rs=cblt1.0&amp;transitionType=DocumentItem&amp;contextData=(sc.UserEnteredCitation)" TargetMode="External"/><Relationship Id="rId75" Type="http://schemas.openxmlformats.org/officeDocument/2006/relationships/hyperlink" Target="http://www.westlaw.com/Link/Document/FullText?findType=Y&amp;serNum=1988047864&amp;pubNum=0000350&amp;originatingDoc=Ib3fd6f52efe011e3a795ac035416da91&amp;refType=RP&amp;fi=co_pp_sp_350_46&amp;originationContext=document&amp;vr=3.0&amp;rs=cblt1.0&amp;transitionType=DocumentItem&amp;contextData=(sc.UserEnteredCitation)#co_pp_sp_350_46" TargetMode="External"/><Relationship Id="rId76" Type="http://schemas.openxmlformats.org/officeDocument/2006/relationships/hyperlink" Target="http://www.westlaw.com/Link/Document/FullText?findType=Y&amp;serNum=2001652773&amp;pubNum=0000506&amp;originatingDoc=Ib3fd6f52efe011e3a795ac035416da91&amp;refType=RP&amp;fi=co_pp_sp_506_82&amp;originationContext=document&amp;vr=3.0&amp;rs=cblt1.0&amp;transitionType=DocumentItem&amp;contextData=(sc.UserEnteredCitation)#co_pp_sp_506_82" TargetMode="External"/><Relationship Id="rId77" Type="http://schemas.openxmlformats.org/officeDocument/2006/relationships/hyperlink" Target="http://www.westlaw.com/Link/Document/FullText?findType=Y&amp;serNum=1977127685&amp;pubNum=0000578&amp;originatingDoc=Ib3fd6f52efe011e3a795ac035416da91&amp;refType=RP&amp;originationContext=document&amp;vr=3.0&amp;rs=cblt1.0&amp;transitionType=DocumentItem&amp;contextData=(sc.UserEnteredCitation)" TargetMode="External"/><Relationship Id="rId78" Type="http://schemas.openxmlformats.org/officeDocument/2006/relationships/hyperlink" Target="#co_anchor_F142033547687_1" TargetMode="External"/><Relationship Id="rId79" Type="http://schemas.openxmlformats.org/officeDocument/2006/relationships/hyperlink" Target="http://www.westlaw.com/Link/Document/FullText?findType=Y&amp;serNum=2002657233&amp;pubNum=0000578&amp;originatingDoc=Ib3fd6f52efe011e3a795ac035416da91&amp;refType=RP&amp;originationContext=document&amp;vr=3.0&amp;rs=cblt1.0&amp;transitionType=DocumentItem&amp;contextData=(sc.UserEnteredCitation)" TargetMode="External"/><Relationship Id="rId90" Type="http://schemas.openxmlformats.org/officeDocument/2006/relationships/hyperlink" Target="http://www.westlaw.com/Link/Document/FullText?findType=Y&amp;serNum=2000086499&amp;pubNum=0000506&amp;originatingDoc=Ib3fd6f52efe011e3a795ac035416da91&amp;refType=RP&amp;fi=co_pp_sp_506_47&amp;originationContext=document&amp;vr=3.0&amp;rs=cblt1.0&amp;transitionType=DocumentItem&amp;contextData=(sc.UserEnteredCitation)#co_pp_sp_506_47" TargetMode="External"/><Relationship Id="rId91" Type="http://schemas.openxmlformats.org/officeDocument/2006/relationships/hyperlink" Target="http://www.westlaw.com/Link/Document/FullText?findType=Y&amp;serNum=1999057000&amp;pubNum=0000506&amp;originatingDoc=Ib3fd6f52efe011e3a795ac035416da91&amp;refType=RP&amp;fi=co_pp_sp_506_102&amp;originationContext=document&amp;vr=3.0&amp;rs=cblt1.0&amp;transitionType=DocumentItem&amp;contextData=(sc.UserEnteredCitation)#co_pp_sp_506_102" TargetMode="External"/><Relationship Id="rId92" Type="http://schemas.openxmlformats.org/officeDocument/2006/relationships/hyperlink" Target="http://www.westlaw.com/Link/Document/FullText?findType=Y&amp;serNum=2008782329&amp;pubNum=0004637&amp;originatingDoc=Ib3fd6f52efe011e3a795ac035416da91&amp;refType=RP&amp;fi=co_pp_sp_4637_490&amp;originationContext=document&amp;vr=3.0&amp;rs=cblt1.0&amp;transitionType=DocumentItem&amp;contextData=(sc.UserEnteredCitation)#co_pp_sp_4637_490" TargetMode="External"/><Relationship Id="rId93" Type="http://schemas.openxmlformats.org/officeDocument/2006/relationships/hyperlink" Target="http://www.westlaw.com/Link/Document/FullText?findType=Y&amp;serNum=2016827938&amp;pubNum=0000999&amp;originatingDoc=Ib3fd6f52efe011e3a795ac035416da91&amp;refType=RP&amp;originationContext=document&amp;vr=3.0&amp;rs=cblt1.0&amp;transitionType=DocumentItem&amp;contextData=(sc.UserEnteredCitation)" TargetMode="External"/><Relationship Id="rId94" Type="http://schemas.openxmlformats.org/officeDocument/2006/relationships/hyperlink" Target="#co_anchor_F172033547687_1" TargetMode="External"/><Relationship Id="rId95" Type="http://schemas.openxmlformats.org/officeDocument/2006/relationships/hyperlink" Target="http://www.westlaw.com/Link/Document/FullText?findType=Y&amp;serNum=2000086499&amp;pubNum=0000506&amp;originatingDoc=Ib3fd6f52efe011e3a795ac035416da91&amp;refType=RP&amp;fi=co_pp_sp_506_50&amp;originationContext=document&amp;vr=3.0&amp;rs=cblt1.0&amp;transitionType=DocumentItem&amp;contextData=(sc.UserEnteredCitation)#co_pp_sp_506_50" TargetMode="External"/><Relationship Id="rId96" Type="http://schemas.openxmlformats.org/officeDocument/2006/relationships/hyperlink" Target="http://www.westlaw.com/Link/Document/FullText?findType=Y&amp;serNum=1974110144&amp;pubNum=0000350&amp;originatingDoc=Ib3fd6f52efe011e3a795ac035416da91&amp;refType=RP&amp;fi=co_pp_sp_350_470&amp;originationContext=document&amp;vr=3.0&amp;rs=cblt1.0&amp;transitionType=DocumentItem&amp;contextData=(sc.UserEnteredCitation)#co_pp_sp_350_470" TargetMode="External"/><Relationship Id="rId97" Type="http://schemas.openxmlformats.org/officeDocument/2006/relationships/hyperlink" Target="http://www.westlaw.com/Link/Document/FullText?findType=Y&amp;serNum=1974120502&amp;pubNum=0000578&amp;originatingDoc=Ib3fd6f52efe011e3a795ac035416da91&amp;refType=RP&amp;originationContext=document&amp;vr=3.0&amp;rs=cblt1.0&amp;transitionType=DocumentItem&amp;contextData=(sc.UserEnteredCitation)" TargetMode="External"/><Relationship Id="rId98" Type="http://schemas.openxmlformats.org/officeDocument/2006/relationships/hyperlink" Target="#co_anchor_F182033547687_1" TargetMode="External"/><Relationship Id="rId99" Type="http://schemas.openxmlformats.org/officeDocument/2006/relationships/hyperlink" Target="http://www.westlaw.com/Link/Document/FullText?findType=Y&amp;serNum=2000086499&amp;pubNum=0000506&amp;originatingDoc=Ib3fd6f52efe011e3a795ac035416da91&amp;refType=RP&amp;fi=co_pp_sp_506_50&amp;originationContext=document&amp;vr=3.0&amp;rs=cblt1.0&amp;transitionType=DocumentItem&amp;contextData=(sc.UserEnteredCitation)#co_pp_sp_506_50" TargetMode="External"/><Relationship Id="rId20" Type="http://schemas.openxmlformats.org/officeDocument/2006/relationships/hyperlink" Target="http://www.westlaw.com/Link/Document/FullText?findType=h&amp;pubNum=176284&amp;cite=0327046801&amp;originatingDoc=Ib3fd6f52efe011e3a795ac035416da91&amp;refType=RQ&amp;originationContext=document&amp;vr=3.0&amp;rs=cblt1.0&amp;transitionType=DocumentItem&amp;contextData=(sc.UserEnteredCitation)" TargetMode="External"/><Relationship Id="rId21" Type="http://schemas.openxmlformats.org/officeDocument/2006/relationships/hyperlink" Target="http://www.westlaw.com/Link/Document/FullText?findType=h&amp;pubNum=176284&amp;cite=0379393301&amp;originatingDoc=Ib3fd6f52efe011e3a795ac035416da91&amp;refType=RQ&amp;originationContext=document&amp;vr=3.0&amp;rs=cblt1.0&amp;transitionType=DocumentItem&amp;contextData=(sc.UserEnteredCitation)" TargetMode="External"/><Relationship Id="rId22" Type="http://schemas.openxmlformats.org/officeDocument/2006/relationships/hyperlink" Target="http://www.westlaw.com/Link/Document/FullText?findType=h&amp;pubNum=176284&amp;cite=0154346301&amp;originatingDoc=Ib3fd6f52efe011e3a795ac035416da91&amp;refType=RQ&amp;originationContext=document&amp;vr=3.0&amp;rs=cblt1.0&amp;transitionType=DocumentItem&amp;contextData=(sc.UserEnteredCitation)" TargetMode="External"/><Relationship Id="rId23" Type="http://schemas.openxmlformats.org/officeDocument/2006/relationships/hyperlink" Target="http://www.westlaw.com/Link/Document/FullText?findType=h&amp;pubNum=176284&amp;cite=0190556801&amp;originatingDoc=Ib3fd6f52efe011e3a795ac035416da91&amp;refType=RQ&amp;originationContext=document&amp;vr=3.0&amp;rs=cblt1.0&amp;transitionType=DocumentItem&amp;contextData=(sc.UserEnteredCitation)" TargetMode="External"/><Relationship Id="rId24" Type="http://schemas.openxmlformats.org/officeDocument/2006/relationships/hyperlink" Target="http://www.westlaw.com/Link/Document/FullText?findType=h&amp;pubNum=176284&amp;cite=0232264301&amp;originatingDoc=Ib3fd6f52efe011e3a795ac035416da91&amp;refType=RQ&amp;originationContext=document&amp;vr=3.0&amp;rs=cblt1.0&amp;transitionType=DocumentItem&amp;contextData=(sc.UserEnteredCitation)" TargetMode="External"/><Relationship Id="rId25" Type="http://schemas.openxmlformats.org/officeDocument/2006/relationships/hyperlink" Target="http://www.westlaw.com/Link/Document/FullText?findType=h&amp;pubNum=176284&amp;cite=0358649401&amp;originatingDoc=Ib3fd6f52efe011e3a795ac035416da91&amp;refType=RQ&amp;originationContext=document&amp;vr=3.0&amp;rs=cblt1.0&amp;transitionType=DocumentItem&amp;contextData=(sc.UserEnteredCitation)" TargetMode="External"/><Relationship Id="rId26" Type="http://schemas.openxmlformats.org/officeDocument/2006/relationships/hyperlink" Target="http://www.westlaw.com/Link/Document/FullText?findType=h&amp;pubNum=176284&amp;cite=0451562001&amp;originatingDoc=Ib3fd6f52efe011e3a795ac035416da91&amp;refType=RQ&amp;originationContext=document&amp;vr=3.0&amp;rs=cblt1.0&amp;transitionType=DocumentItem&amp;contextData=(sc.UserEnteredCitation)" TargetMode="External"/><Relationship Id="rId27" Type="http://schemas.openxmlformats.org/officeDocument/2006/relationships/hyperlink" Target="http://www.westlaw.com/Link/Document/FullText?findType=h&amp;pubNum=176284&amp;cite=0239461201&amp;originatingDoc=Ib3fd6f52efe011e3a795ac035416da91&amp;refType=RQ&amp;originationContext=document&amp;vr=3.0&amp;rs=cblt1.0&amp;transitionType=DocumentItem&amp;contextData=(sc.UserEnteredCitation)" TargetMode="External"/><Relationship Id="rId28" Type="http://schemas.openxmlformats.org/officeDocument/2006/relationships/hyperlink" Target="http://www.westlaw.com/Link/Document/FullText?findType=h&amp;pubNum=176284&amp;cite=0335097101&amp;originatingDoc=Ib3fd6f52efe011e3a795ac035416da91&amp;refType=RQ&amp;originationContext=document&amp;vr=3.0&amp;rs=cblt1.0&amp;transitionType=DocumentItem&amp;contextData=(sc.UserEnteredCitation)" TargetMode="External"/><Relationship Id="rId29" Type="http://schemas.openxmlformats.org/officeDocument/2006/relationships/hyperlink" Target="http://www.westlaw.com/Link/Document/FullText?findType=h&amp;pubNum=176284&amp;cite=0381106101&amp;originatingDoc=Ib3fd6f52efe011e3a795ac035416da91&amp;refType=RQ&amp;originationContext=document&amp;vr=3.0&amp;rs=cblt1.0&amp;transitionType=DocumentItem&amp;contextData=(sc.UserEnteredCitation)" TargetMode="External"/><Relationship Id="rId40" Type="http://schemas.openxmlformats.org/officeDocument/2006/relationships/hyperlink" Target="#co_anchor_F32033547687_1" TargetMode="External"/><Relationship Id="rId41" Type="http://schemas.openxmlformats.org/officeDocument/2006/relationships/hyperlink" Target="#co_anchor_F42033547687_1" TargetMode="External"/><Relationship Id="rId42" Type="http://schemas.openxmlformats.org/officeDocument/2006/relationships/hyperlink" Target="#co_anchor_F52033547687_1" TargetMode="External"/><Relationship Id="rId43" Type="http://schemas.openxmlformats.org/officeDocument/2006/relationships/hyperlink" Target="#co_anchor_F62033547687_1" TargetMode="External"/><Relationship Id="rId44" Type="http://schemas.openxmlformats.org/officeDocument/2006/relationships/hyperlink" Target="http://www.westlaw.com/Link/Document/FullText?findType=Y&amp;serNum=2002657233&amp;pubNum=0000578&amp;originatingDoc=Ib3fd6f52efe011e3a795ac035416da91&amp;refType=RP&amp;originationContext=document&amp;vr=3.0&amp;rs=cblt1.0&amp;transitionType=DocumentItem&amp;contextData=(sc.UserEnteredCitation)" TargetMode="External"/><Relationship Id="rId45" Type="http://schemas.openxmlformats.org/officeDocument/2006/relationships/hyperlink" Target="http://www.westlaw.com/Link/Document/FullText?findType=Y&amp;serNum=1992087516&amp;pubNum=0000578&amp;originatingDoc=Ib3fd6f52efe011e3a795ac035416da91&amp;refType=RP&amp;originationContext=document&amp;vr=3.0&amp;rs=cblt1.0&amp;transitionType=DocumentItem&amp;contextData=(sc.UserEnteredCitation)" TargetMode="External"/><Relationship Id="rId46" Type="http://schemas.openxmlformats.org/officeDocument/2006/relationships/hyperlink" Target="http://www.westlaw.com/Link/Document/FullText?findType=Y&amp;serNum=2021870094&amp;pubNum=0000506&amp;originatingDoc=Ib3fd6f52efe011e3a795ac035416da91&amp;refType=RP&amp;fi=co_pp_sp_506_180&amp;originationContext=document&amp;vr=3.0&amp;rs=cblt1.0&amp;transitionType=DocumentItem&amp;contextData=(sc.UserEnteredCitation)#co_pp_sp_506_180" TargetMode="External"/><Relationship Id="rId47" Type="http://schemas.openxmlformats.org/officeDocument/2006/relationships/hyperlink" Target="http://www.westlaw.com/Link/Document/FullText?findType=Y&amp;serNum=2002657233&amp;pubNum=0000578&amp;originatingDoc=Ib3fd6f52efe011e3a795ac035416da91&amp;refType=RP&amp;originationContext=document&amp;vr=3.0&amp;rs=cblt1.0&amp;transitionType=DocumentItem&amp;contextData=(sc.UserEnteredCitation)" TargetMode="External"/><Relationship Id="rId48" Type="http://schemas.openxmlformats.org/officeDocument/2006/relationships/hyperlink" Target="http://www.westlaw.com/Link/Document/FullText?findType=Y&amp;serNum=2002268663&amp;pubNum=0000578&amp;originatingDoc=Ib3fd6f52efe011e3a795ac035416da91&amp;refType=RP&amp;originationContext=document&amp;vr=3.0&amp;rs=cblt1.0&amp;transitionType=DocumentItem&amp;contextData=(sc.UserEnteredCitation)" TargetMode="External"/><Relationship Id="rId49" Type="http://schemas.openxmlformats.org/officeDocument/2006/relationships/hyperlink" Target="http://www.westlaw.com/Link/Document/FullText?findType=Y&amp;serNum=1935102285&amp;pubNum=0000577&amp;originatingDoc=Ib3fd6f52efe011e3a795ac035416da91&amp;refType=RP&amp;originationContext=document&amp;vr=3.0&amp;rs=cblt1.0&amp;transitionType=DocumentItem&amp;contextData=(sc.UserEnteredCitation)" TargetMode="External"/><Relationship Id="rId60" Type="http://schemas.openxmlformats.org/officeDocument/2006/relationships/hyperlink" Target="#co_anchor_F112033547687_1" TargetMode="External"/><Relationship Id="rId61" Type="http://schemas.openxmlformats.org/officeDocument/2006/relationships/hyperlink" Target="#co_anchor_F122033547687_1" TargetMode="External"/><Relationship Id="rId62" Type="http://schemas.openxmlformats.org/officeDocument/2006/relationships/hyperlink" Target="http://www.westlaw.com/Link/Document/FullText?findType=Y&amp;serNum=1977127685&amp;pubNum=0000578&amp;originatingDoc=Ib3fd6f52efe011e3a795ac035416da91&amp;refType=RP&amp;originationContext=document&amp;vr=3.0&amp;rs=cblt1.0&amp;transitionType=DocumentItem&amp;contextData=(sc.UserEnteredCitation)" TargetMode="External"/><Relationship Id="rId63" Type="http://schemas.openxmlformats.org/officeDocument/2006/relationships/hyperlink" Target="http://www.westlaw.com/Link/Document/FullText?findType=Y&amp;serNum=1935102285&amp;pubNum=0000577&amp;originatingDoc=Ib3fd6f52efe011e3a795ac035416da91&amp;refType=RP&amp;originationContext=document&amp;vr=3.0&amp;rs=cblt1.0&amp;transitionType=DocumentItem&amp;contextData=(sc.UserEnteredCitation)" TargetMode="External"/><Relationship Id="rId64" Type="http://schemas.openxmlformats.org/officeDocument/2006/relationships/hyperlink" Target="http://www.westlaw.com/Link/Document/FullText?findType=Y&amp;serNum=1919003359&amp;pubNum=0000577&amp;originatingDoc=Ib3fd6f52efe011e3a795ac035416da91&amp;refType=RP&amp;originationContext=document&amp;vr=3.0&amp;rs=cblt1.0&amp;transitionType=DocumentItem&amp;contextData=(sc.UserEnteredCitation)" TargetMode="External"/><Relationship Id="rId65" Type="http://schemas.openxmlformats.org/officeDocument/2006/relationships/hyperlink" Target="http://www.westlaw.com/Link/Document/FullText?findType=Y&amp;serNum=1977127685&amp;pubNum=0000578&amp;originatingDoc=Ib3fd6f52efe011e3a795ac035416da91&amp;refType=RP&amp;originationContext=document&amp;vr=3.0&amp;rs=cblt1.0&amp;transitionType=DocumentItem&amp;contextData=(sc.UserEnteredCitation)" TargetMode="External"/><Relationship Id="rId66" Type="http://schemas.openxmlformats.org/officeDocument/2006/relationships/hyperlink" Target="http://www.westlaw.com/Link/Document/FullText?findType=Y&amp;serNum=1988047864&amp;pubNum=0000350&amp;originatingDoc=Ib3fd6f52efe011e3a795ac035416da91&amp;refType=RP&amp;fi=co_pp_sp_350_48&amp;originationContext=document&amp;vr=3.0&amp;rs=cblt1.0&amp;transitionType=DocumentItem&amp;contextData=(sc.UserEnteredCitation)#co_pp_sp_350_48" TargetMode="External"/><Relationship Id="rId67" Type="http://schemas.openxmlformats.org/officeDocument/2006/relationships/hyperlink" Target="http://www.westlaw.com/Link/Document/FullText?findType=Y&amp;serNum=0101944411&amp;pubNum=0001142&amp;originatingDoc=Ib3fd6f52efe011e3a795ac035416da91&amp;refType=LR&amp;fi=co_pp_sp_1142_38&amp;originationContext=document&amp;vr=3.0&amp;rs=cblt1.0&amp;transitionType=DocumentItem&amp;contextData=(sc.UserEnteredCitation)#co_pp_sp_1142_38" TargetMode="External"/><Relationship Id="rId68" Type="http://schemas.openxmlformats.org/officeDocument/2006/relationships/hyperlink" Target="http://www.westlaw.com/Link/Document/FullText?findType=Y&amp;serNum=2004251980&amp;pubNum=0000578&amp;originatingDoc=Ib3fd6f52efe011e3a795ac035416da91&amp;refType=RP&amp;originationContext=document&amp;vr=3.0&amp;rs=cblt1.0&amp;transitionType=DocumentItem&amp;contextData=(sc.UserEnteredCitation)" TargetMode="External"/><Relationship Id="rId69" Type="http://schemas.openxmlformats.org/officeDocument/2006/relationships/hyperlink" Target="http://www.westlaw.com/Link/Document/FullText?findType=Y&amp;serNum=1979198852&amp;pubNum=0000578&amp;originatingDoc=Ib3fd6f52efe011e3a795ac035416da91&amp;refType=RP&amp;originationContext=document&amp;vr=3.0&amp;rs=cblt1.0&amp;transitionType=DocumentItem&amp;contextData=(sc.UserEnteredCitation)" TargetMode="External"/><Relationship Id="rId100" Type="http://schemas.openxmlformats.org/officeDocument/2006/relationships/hyperlink" Target="http://www.westlaw.com/Link/Document/FullText?findType=Y&amp;serNum=1983122905&amp;pubNum=0000708&amp;originatingDoc=Ib3fd6f52efe011e3a795ac035416da91&amp;refType=RP&amp;originationContext=document&amp;vr=3.0&amp;rs=cblt1.0&amp;transitionType=DocumentItem&amp;contextData=(sc.UserEnteredCitation)" TargetMode="External"/><Relationship Id="rId80" Type="http://schemas.openxmlformats.org/officeDocument/2006/relationships/hyperlink" Target="http://www.westlaw.com/Link/Document/FullText?findType=Y&amp;serNum=2010688338&amp;pubNum=0000578&amp;originatingDoc=Ib3fd6f52efe011e3a795ac035416da91&amp;refType=RP&amp;originationContext=document&amp;vr=3.0&amp;rs=cblt1.0&amp;transitionType=DocumentItem&amp;contextData=(sc.UserEnteredCitation)" TargetMode="External"/><Relationship Id="rId81" Type="http://schemas.openxmlformats.org/officeDocument/2006/relationships/hyperlink" Target="#co_anchor_F152033547687_1" TargetMode="External"/><Relationship Id="rId82" Type="http://schemas.openxmlformats.org/officeDocument/2006/relationships/hyperlink" Target="#co_anchor_F162033547687_1" TargetMode="External"/><Relationship Id="rId83" Type="http://schemas.openxmlformats.org/officeDocument/2006/relationships/hyperlink" Target="http://www.westlaw.com/Link/Document/FullText?findType=Y&amp;serNum=1987054882&amp;pubNum=0000350&amp;originatingDoc=Ib3fd6f52efe011e3a795ac035416da91&amp;refType=RP&amp;fi=co_pp_sp_350_240&amp;originationContext=document&amp;vr=3.0&amp;rs=cblt1.0&amp;transitionType=DocumentItem&amp;contextData=(sc.UserEnteredCitation)#co_pp_sp_350_240" TargetMode="External"/><Relationship Id="rId84" Type="http://schemas.openxmlformats.org/officeDocument/2006/relationships/hyperlink" Target="http://www.westlaw.com/Link/Document/FullText?findType=Y&amp;serNum=1999057000&amp;pubNum=0000506&amp;originatingDoc=Ib3fd6f52efe011e3a795ac035416da91&amp;refType=RP&amp;fi=co_pp_sp_506_102&amp;originationContext=document&amp;vr=3.0&amp;rs=cblt1.0&amp;transitionType=DocumentItem&amp;contextData=(sc.UserEnteredCitation)#co_pp_sp_506_102" TargetMode="External"/><Relationship Id="rId85" Type="http://schemas.openxmlformats.org/officeDocument/2006/relationships/hyperlink" Target="http://www.westlaw.com/Link/Document/FullText?findType=Y&amp;serNum=2007704550&amp;pubNum=0000506&amp;originatingDoc=Ib3fd6f52efe011e3a795ac035416da91&amp;refType=RP&amp;fi=co_pp_sp_506_110&amp;originationContext=document&amp;vr=3.0&amp;rs=cblt1.0&amp;transitionType=DocumentItem&amp;contextData=(sc.UserEnteredCitation)#co_pp_sp_506_110" TargetMode="External"/><Relationship Id="rId86" Type="http://schemas.openxmlformats.org/officeDocument/2006/relationships/hyperlink" Target="http://www.westlaw.com/Link/Document/FullText?findType=Y&amp;serNum=1982148748&amp;pubNum=0000350&amp;originatingDoc=Ib3fd6f52efe011e3a795ac035416da91&amp;refType=RP&amp;fi=co_pp_sp_350_1111&amp;originationContext=document&amp;vr=3.0&amp;rs=cblt1.0&amp;transitionType=DocumentItem&amp;contextData=(sc.UserEnteredCitation)#co_pp_sp_350_1111" TargetMode="External"/><Relationship Id="rId87" Type="http://schemas.openxmlformats.org/officeDocument/2006/relationships/hyperlink" Target="http://www.westlaw.com/Link/Document/FullText?findType=Y&amp;serNum=2017560476&amp;pubNum=0000578&amp;originatingDoc=Ib3fd6f52efe011e3a795ac035416da91&amp;refType=RP&amp;originationContext=document&amp;vr=3.0&amp;rs=cblt1.0&amp;transitionType=DocumentItem&amp;contextData=(sc.UserEnteredCitation)" TargetMode="External"/><Relationship Id="rId88" Type="http://schemas.openxmlformats.org/officeDocument/2006/relationships/hyperlink" Target="http://www.westlaw.com/Link/Document/FullText?findType=Y&amp;serNum=1987054882&amp;pubNum=0000350&amp;originatingDoc=Ib3fd6f52efe011e3a795ac035416da91&amp;refType=RP&amp;fi=co_pp_sp_350_240&amp;originationContext=document&amp;vr=3.0&amp;rs=cblt1.0&amp;transitionType=DocumentItem&amp;contextData=(sc.UserEnteredCitation)#co_pp_sp_350_240" TargetMode="External"/><Relationship Id="rId89" Type="http://schemas.openxmlformats.org/officeDocument/2006/relationships/hyperlink" Target="http://www.westlaw.com/Link/Document/FullText?findType=Y&amp;serNum=2021353136&amp;pubNum=0000506&amp;originatingDoc=Ib3fd6f52efe011e3a795ac035416da91&amp;refType=RP&amp;fi=co_pp_sp_506_414&amp;originationContext=document&amp;vr=3.0&amp;rs=cblt1.0&amp;transitionType=DocumentItem&amp;contextData=(sc.UserEnteredCitation)#co_pp_sp_506_41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9879</Words>
  <Characters>55030</Characters>
  <Application>Microsoft Macintosh Word</Application>
  <DocSecurity>0</DocSecurity>
  <Lines>1279</Lines>
  <Paragraphs>630</Paragraphs>
  <ScaleCrop>false</ScaleCrop>
  <Company/>
  <LinksUpToDate>false</LinksUpToDate>
  <CharactersWithSpaces>64279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Elizabeth Burch</cp:lastModifiedBy>
  <cp:revision>2</cp:revision>
  <dcterms:created xsi:type="dcterms:W3CDTF">2017-03-16T16:41:00Z</dcterms:created>
  <dcterms:modified xsi:type="dcterms:W3CDTF">2017-03-16T16:41:00Z</dcterms:modified>
</cp:coreProperties>
</file>