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5B70A" w14:textId="77777777" w:rsidR="00000000" w:rsidRDefault="00A44D1E">
      <w:pPr>
        <w:widowControl w:val="0"/>
        <w:autoSpaceDE w:val="0"/>
        <w:autoSpaceDN w:val="0"/>
        <w:adjustRightInd w:val="0"/>
        <w:jc w:val="both"/>
        <w:rPr>
          <w:color w:val="000000"/>
        </w:rPr>
      </w:pPr>
    </w:p>
    <w:p w14:paraId="0BEBE5C9" w14:textId="77777777" w:rsidR="00000000" w:rsidRDefault="00A44D1E">
      <w:pPr>
        <w:widowControl w:val="0"/>
        <w:autoSpaceDE w:val="0"/>
        <w:autoSpaceDN w:val="0"/>
        <w:adjustRightInd w:val="0"/>
        <w:rPr>
          <w:rFonts w:ascii="Arial" w:hAnsi="Arial" w:cs="Arial"/>
        </w:rPr>
        <w:sectPr w:rsidR="00000000">
          <w:headerReference w:type="default" r:id="rId6"/>
          <w:footerReference w:type="default" r:id="rId7"/>
          <w:pgSz w:w="12240" w:h="15840"/>
          <w:pgMar w:top="1800" w:right="1080" w:bottom="1080" w:left="1080" w:header="720" w:footer="720" w:gutter="0"/>
          <w:cols w:space="720"/>
          <w:noEndnote/>
        </w:sectPr>
      </w:pPr>
    </w:p>
    <w:p w14:paraId="73DAF9C0" w14:textId="77777777" w:rsidR="00000000" w:rsidRDefault="00A44D1E">
      <w:pPr>
        <w:widowControl w:val="0"/>
        <w:autoSpaceDE w:val="0"/>
        <w:autoSpaceDN w:val="0"/>
        <w:adjustRightInd w:val="0"/>
        <w:rPr>
          <w:color w:val="000000"/>
        </w:rPr>
      </w:pPr>
      <w:bookmarkStart w:id="0" w:name="co_document_1"/>
      <w:bookmarkStart w:id="1" w:name="I30ba47b8f24011e39b04b2440dd07f32_Target"/>
      <w:bookmarkEnd w:id="0"/>
      <w:bookmarkEnd w:id="1"/>
    </w:p>
    <w:p w14:paraId="32AC419F" w14:textId="77777777" w:rsidR="00000000" w:rsidRDefault="00A44D1E">
      <w:pPr>
        <w:widowControl w:val="0"/>
        <w:autoSpaceDE w:val="0"/>
        <w:autoSpaceDN w:val="0"/>
        <w:adjustRightInd w:val="0"/>
        <w:spacing w:after="200"/>
        <w:rPr>
          <w:b/>
          <w:bCs/>
          <w:color w:val="000000"/>
        </w:rPr>
      </w:pPr>
      <w:r>
        <w:rPr>
          <w:b/>
          <w:bCs/>
          <w:color w:val="000000"/>
        </w:rPr>
        <w:t xml:space="preserve">Litigating Mass Tort Cases </w:t>
      </w:r>
      <w:r>
        <w:rPr>
          <w:b/>
          <w:bCs/>
          <w:color w:val="000000"/>
        </w:rPr>
        <w:t>§</w:t>
      </w:r>
      <w:r>
        <w:rPr>
          <w:b/>
          <w:bCs/>
          <w:color w:val="000000"/>
        </w:rPr>
        <w:t xml:space="preserve"> 9:39.99</w:t>
      </w:r>
    </w:p>
    <w:p w14:paraId="155E48CE" w14:textId="77777777" w:rsidR="00000000" w:rsidRDefault="00A44D1E">
      <w:pPr>
        <w:widowControl w:val="0"/>
        <w:autoSpaceDE w:val="0"/>
        <w:autoSpaceDN w:val="0"/>
        <w:adjustRightInd w:val="0"/>
        <w:spacing w:before="182"/>
        <w:rPr>
          <w:color w:val="6B6B6A"/>
          <w:sz w:val="18"/>
          <w:szCs w:val="18"/>
        </w:rPr>
      </w:pPr>
      <w:r>
        <w:rPr>
          <w:color w:val="6B6B6A"/>
          <w:sz w:val="18"/>
          <w:szCs w:val="18"/>
        </w:rPr>
        <w:t>Litigating Mass Tort Cases</w:t>
      </w:r>
      <w:r>
        <w:rPr>
          <w:color w:val="E8E9E8"/>
          <w:sz w:val="18"/>
          <w:szCs w:val="18"/>
        </w:rPr>
        <w:t xml:space="preserve"> | </w:t>
      </w:r>
      <w:r>
        <w:rPr>
          <w:color w:val="6B6B6A"/>
          <w:sz w:val="18"/>
          <w:szCs w:val="18"/>
        </w:rPr>
        <w:t>January 2018 Update</w:t>
      </w:r>
    </w:p>
    <w:p w14:paraId="5D1BCAB8" w14:textId="77777777" w:rsidR="00000000" w:rsidRDefault="00A44D1E">
      <w:pPr>
        <w:widowControl w:val="0"/>
        <w:autoSpaceDE w:val="0"/>
        <w:autoSpaceDN w:val="0"/>
        <w:adjustRightInd w:val="0"/>
        <w:rPr>
          <w:color w:val="6B6B6A"/>
          <w:sz w:val="13"/>
          <w:szCs w:val="13"/>
        </w:rPr>
      </w:pPr>
      <w:r>
        <w:rPr>
          <w:color w:val="6B6B6A"/>
          <w:sz w:val="18"/>
          <w:szCs w:val="18"/>
        </w:rPr>
        <w:t>Paul D. Rheingold</w:t>
      </w:r>
      <w:bookmarkStart w:id="2" w:name="co_footnoteReference_I84b8ecd004df11e8a3"/>
      <w:bookmarkEnd w:id="2"/>
      <w:r>
        <w:rPr>
          <w:color w:val="6B6B6A"/>
          <w:sz w:val="13"/>
          <w:szCs w:val="13"/>
        </w:rPr>
        <w:fldChar w:fldCharType="begin"/>
      </w:r>
      <w:r>
        <w:rPr>
          <w:color w:val="6B6B6A"/>
          <w:sz w:val="13"/>
          <w:szCs w:val="13"/>
        </w:rPr>
        <w:instrText>HYPERLINK</w:instrText>
      </w:r>
      <w:r>
        <w:rPr>
          <w:color w:val="6B6B6A"/>
          <w:sz w:val="13"/>
          <w:szCs w:val="13"/>
        </w:rPr>
        <w:instrText xml:space="preserve"> "#co_footnote_I84b8ecd004df11e8a3fdc0d07a5" </w:instrText>
      </w:r>
      <w:r w:rsidR="00A10695">
        <w:rPr>
          <w:color w:val="6B6B6A"/>
          <w:sz w:val="13"/>
          <w:szCs w:val="13"/>
        </w:rPr>
      </w:r>
      <w:r>
        <w:rPr>
          <w:color w:val="6B6B6A"/>
          <w:sz w:val="13"/>
          <w:szCs w:val="13"/>
        </w:rPr>
        <w:fldChar w:fldCharType="separate"/>
      </w:r>
      <w:r>
        <w:rPr>
          <w:color w:val="000000"/>
          <w:sz w:val="13"/>
          <w:szCs w:val="13"/>
          <w:vertAlign w:val="superscript"/>
        </w:rPr>
        <w:t>*</w:t>
      </w:r>
      <w:r>
        <w:rPr>
          <w:color w:val="6B6B6A"/>
          <w:sz w:val="13"/>
          <w:szCs w:val="13"/>
        </w:rPr>
        <w:fldChar w:fldCharType="end"/>
      </w:r>
    </w:p>
    <w:p w14:paraId="0E3CE46A" w14:textId="77777777" w:rsidR="00000000" w:rsidRDefault="00A44D1E">
      <w:pPr>
        <w:widowControl w:val="0"/>
        <w:autoSpaceDE w:val="0"/>
        <w:autoSpaceDN w:val="0"/>
        <w:adjustRightInd w:val="0"/>
        <w:rPr>
          <w:color w:val="6B6B6A"/>
          <w:sz w:val="18"/>
          <w:szCs w:val="18"/>
        </w:rPr>
      </w:pPr>
      <w:r>
        <w:rPr>
          <w:color w:val="6B6B6A"/>
          <w:sz w:val="18"/>
          <w:szCs w:val="18"/>
        </w:rPr>
        <w:t>Part One. Law and Practice of Mass Tort Litigation</w:t>
      </w:r>
    </w:p>
    <w:p w14:paraId="51137BBE" w14:textId="77777777" w:rsidR="00000000" w:rsidRDefault="00A44D1E">
      <w:pPr>
        <w:widowControl w:val="0"/>
        <w:autoSpaceDE w:val="0"/>
        <w:autoSpaceDN w:val="0"/>
        <w:adjustRightInd w:val="0"/>
        <w:rPr>
          <w:color w:val="6B6B6A"/>
          <w:sz w:val="18"/>
          <w:szCs w:val="18"/>
        </w:rPr>
      </w:pPr>
      <w:r>
        <w:rPr>
          <w:color w:val="6B6B6A"/>
          <w:sz w:val="18"/>
          <w:szCs w:val="18"/>
        </w:rPr>
        <w:t>Chapter 9. Settlement of Mass Tort Litigation</w:t>
      </w:r>
    </w:p>
    <w:p w14:paraId="737EFB91" w14:textId="77777777" w:rsidR="00000000" w:rsidRDefault="00A44D1E">
      <w:pPr>
        <w:widowControl w:val="0"/>
        <w:autoSpaceDE w:val="0"/>
        <w:autoSpaceDN w:val="0"/>
        <w:adjustRightInd w:val="0"/>
        <w:rPr>
          <w:color w:val="6B6B6A"/>
          <w:sz w:val="18"/>
          <w:szCs w:val="18"/>
        </w:rPr>
      </w:pPr>
      <w:r>
        <w:rPr>
          <w:color w:val="6B6B6A"/>
          <w:sz w:val="18"/>
          <w:szCs w:val="18"/>
        </w:rPr>
        <w:t>IV. Case Histories of Use of Matrix and Category</w:t>
      </w:r>
    </w:p>
    <w:p w14:paraId="6985D7D1" w14:textId="77777777" w:rsidR="00000000" w:rsidRDefault="00A44D1E">
      <w:pPr>
        <w:widowControl w:val="0"/>
        <w:autoSpaceDE w:val="0"/>
        <w:autoSpaceDN w:val="0"/>
        <w:adjustRightInd w:val="0"/>
        <w:spacing w:after="182"/>
        <w:rPr>
          <w:color w:val="6B6B6A"/>
          <w:sz w:val="18"/>
          <w:szCs w:val="18"/>
        </w:rPr>
      </w:pPr>
      <w:r>
        <w:rPr>
          <w:color w:val="6B6B6A"/>
          <w:sz w:val="18"/>
          <w:szCs w:val="18"/>
        </w:rPr>
        <w:t>D. Arising Out of a Fund, from Which Payments Were Made in Individual Cases</w:t>
      </w:r>
    </w:p>
    <w:p w14:paraId="4EB56DBA" w14:textId="77777777" w:rsidR="00000000" w:rsidRDefault="00A44D1E">
      <w:pPr>
        <w:widowControl w:val="0"/>
        <w:autoSpaceDE w:val="0"/>
        <w:autoSpaceDN w:val="0"/>
        <w:adjustRightInd w:val="0"/>
        <w:spacing w:before="760" w:after="500"/>
        <w:jc w:val="center"/>
        <w:rPr>
          <w:color w:val="252525"/>
        </w:rPr>
      </w:pPr>
      <w:r>
        <w:rPr>
          <w:color w:val="252525"/>
        </w:rPr>
        <w:t>§</w:t>
      </w:r>
      <w:r>
        <w:rPr>
          <w:color w:val="252525"/>
        </w:rPr>
        <w:t xml:space="preserve"> 9:39.99. </w:t>
      </w:r>
      <w:proofErr w:type="spellStart"/>
      <w:r>
        <w:rPr>
          <w:color w:val="252525"/>
        </w:rPr>
        <w:t>NuvaRing</w:t>
      </w:r>
      <w:proofErr w:type="spellEnd"/>
      <w:r>
        <w:rPr>
          <w:color w:val="252525"/>
        </w:rPr>
        <w:t xml:space="preserve"> settlement</w:t>
      </w:r>
    </w:p>
    <w:p w14:paraId="213F5BA1" w14:textId="77777777" w:rsidR="00000000" w:rsidRDefault="00A44D1E">
      <w:pPr>
        <w:widowControl w:val="0"/>
        <w:autoSpaceDE w:val="0"/>
        <w:autoSpaceDN w:val="0"/>
        <w:adjustRightInd w:val="0"/>
        <w:jc w:val="both"/>
        <w:rPr>
          <w:color w:val="000000"/>
        </w:rPr>
      </w:pPr>
      <w:hyperlink r:id="rId8" w:history="1">
        <w:r>
          <w:rPr>
            <w:color w:val="000000"/>
          </w:rPr>
          <w:t>References</w:t>
        </w:r>
      </w:hyperlink>
    </w:p>
    <w:p w14:paraId="16AAE7EA" w14:textId="77777777" w:rsidR="00000000" w:rsidRDefault="00A44D1E">
      <w:pPr>
        <w:widowControl w:val="0"/>
        <w:autoSpaceDE w:val="0"/>
        <w:autoSpaceDN w:val="0"/>
        <w:adjustRightInd w:val="0"/>
        <w:jc w:val="both"/>
        <w:rPr>
          <w:color w:val="000000"/>
        </w:rPr>
      </w:pPr>
      <w:r>
        <w:rPr>
          <w:color w:val="000000"/>
        </w:rPr>
        <w:t xml:space="preserve">In February 2014, Merck (operating through the name of its subsidiary which made the product, </w:t>
      </w:r>
      <w:proofErr w:type="spellStart"/>
      <w:r>
        <w:rPr>
          <w:color w:val="000000"/>
        </w:rPr>
        <w:t>Organon</w:t>
      </w:r>
      <w:proofErr w:type="spellEnd"/>
      <w:r>
        <w:rPr>
          <w:color w:val="000000"/>
        </w:rPr>
        <w:t xml:space="preserve">), made a $100 million settlement offer intended to end the long run </w:t>
      </w:r>
      <w:proofErr w:type="spellStart"/>
      <w:r>
        <w:rPr>
          <w:color w:val="000000"/>
        </w:rPr>
        <w:t>NuvaRing</w:t>
      </w:r>
      <w:proofErr w:type="spellEnd"/>
      <w:r>
        <w:rPr>
          <w:color w:val="000000"/>
        </w:rPr>
        <w:t xml:space="preserve"> litigation pending against it. The plan is a private</w:t>
      </w:r>
      <w:r>
        <w:rPr>
          <w:color w:val="000000"/>
        </w:rPr>
        <w:t xml:space="preserve"> one, not involving court approval. Claimants must opt into the plan, within a deadline. The plan would only take effect if 95% of certain claimants opt in. The plan was limited only to certain injuries, mostly venous clots</w:t>
      </w:r>
      <w:r>
        <w:rPr>
          <w:color w:val="000000"/>
        </w:rPr>
        <w:t>—</w:t>
      </w:r>
      <w:r>
        <w:rPr>
          <w:color w:val="000000"/>
        </w:rPr>
        <w:t>DVT, pulmonary embolism and stro</w:t>
      </w:r>
      <w:r>
        <w:rPr>
          <w:color w:val="000000"/>
        </w:rPr>
        <w:t>ke.</w:t>
      </w:r>
    </w:p>
    <w:p w14:paraId="358FA6DE" w14:textId="77777777" w:rsidR="00000000" w:rsidRDefault="00A44D1E">
      <w:pPr>
        <w:widowControl w:val="0"/>
        <w:autoSpaceDE w:val="0"/>
        <w:autoSpaceDN w:val="0"/>
        <w:adjustRightInd w:val="0"/>
        <w:jc w:val="both"/>
        <w:rPr>
          <w:color w:val="000000"/>
        </w:rPr>
      </w:pPr>
      <w:r>
        <w:rPr>
          <w:color w:val="000000"/>
        </w:rPr>
        <w:t> </w:t>
      </w:r>
    </w:p>
    <w:p w14:paraId="63016897" w14:textId="77777777" w:rsidR="00000000" w:rsidRDefault="00A44D1E">
      <w:pPr>
        <w:widowControl w:val="0"/>
        <w:autoSpaceDE w:val="0"/>
        <w:autoSpaceDN w:val="0"/>
        <w:adjustRightInd w:val="0"/>
        <w:jc w:val="both"/>
        <w:rPr>
          <w:color w:val="000000"/>
        </w:rPr>
      </w:pPr>
      <w:r>
        <w:rPr>
          <w:color w:val="000000"/>
        </w:rPr>
        <w:t>The plan itself has few terms. It leaves it up to a committee of plaintiffs’ attorneys to figure out how to distribute the money fairly. The plan uses Brown-Greer for administration, and this is being paid for by Merck. All common fund fees and expen</w:t>
      </w:r>
      <w:r>
        <w:rPr>
          <w:color w:val="000000"/>
        </w:rPr>
        <w:t>ses are paid from the settlement fund.</w:t>
      </w:r>
    </w:p>
    <w:p w14:paraId="48164FCF" w14:textId="77777777" w:rsidR="00000000" w:rsidRDefault="00A44D1E">
      <w:pPr>
        <w:widowControl w:val="0"/>
        <w:autoSpaceDE w:val="0"/>
        <w:autoSpaceDN w:val="0"/>
        <w:adjustRightInd w:val="0"/>
        <w:jc w:val="both"/>
        <w:rPr>
          <w:color w:val="000000"/>
        </w:rPr>
      </w:pPr>
      <w:r>
        <w:rPr>
          <w:color w:val="000000"/>
        </w:rPr>
        <w:t> </w:t>
      </w:r>
    </w:p>
    <w:p w14:paraId="1B0081B5" w14:textId="77777777" w:rsidR="00000000" w:rsidRDefault="00A44D1E">
      <w:pPr>
        <w:widowControl w:val="0"/>
        <w:autoSpaceDE w:val="0"/>
        <w:autoSpaceDN w:val="0"/>
        <w:adjustRightInd w:val="0"/>
        <w:jc w:val="both"/>
        <w:rPr>
          <w:color w:val="000000"/>
        </w:rPr>
      </w:pPr>
      <w:r>
        <w:rPr>
          <w:color w:val="000000"/>
        </w:rPr>
        <w:t xml:space="preserve">Soon after the plan was announced, the plaintiffs’ lawyers committee put out a statement, called </w:t>
      </w:r>
      <w:r>
        <w:rPr>
          <w:color w:val="000000"/>
        </w:rPr>
        <w:t>“</w:t>
      </w:r>
      <w:r>
        <w:rPr>
          <w:color w:val="000000"/>
        </w:rPr>
        <w:t xml:space="preserve">Summary of </w:t>
      </w:r>
      <w:proofErr w:type="spellStart"/>
      <w:r>
        <w:rPr>
          <w:color w:val="000000"/>
        </w:rPr>
        <w:t>NuvaRing</w:t>
      </w:r>
      <w:proofErr w:type="spellEnd"/>
      <w:r>
        <w:rPr>
          <w:color w:val="000000"/>
        </w:rPr>
        <w:t xml:space="preserve"> Settlement Program,</w:t>
      </w:r>
      <w:r>
        <w:rPr>
          <w:color w:val="000000"/>
        </w:rPr>
        <w:t>”</w:t>
      </w:r>
      <w:r>
        <w:rPr>
          <w:color w:val="000000"/>
        </w:rPr>
        <w:t xml:space="preserve"> for use by counsel and their clients in evaluating the settlement. It descri</w:t>
      </w:r>
      <w:r>
        <w:rPr>
          <w:color w:val="000000"/>
        </w:rPr>
        <w:t xml:space="preserve">bed the proof that would be required in order to qualify for payment, such as proof of use. It also gave what it called </w:t>
      </w:r>
      <w:r>
        <w:rPr>
          <w:color w:val="000000"/>
        </w:rPr>
        <w:t>“</w:t>
      </w:r>
      <w:r>
        <w:rPr>
          <w:color w:val="000000"/>
        </w:rPr>
        <w:t>base settlement amounts.</w:t>
      </w:r>
      <w:r>
        <w:rPr>
          <w:color w:val="000000"/>
        </w:rPr>
        <w:t>”</w:t>
      </w:r>
      <w:r>
        <w:rPr>
          <w:color w:val="000000"/>
        </w:rPr>
        <w:t xml:space="preserve"> The amounts available per claimant are small in comparison to what payments for like injuries in other settle</w:t>
      </w:r>
      <w:r>
        <w:rPr>
          <w:color w:val="000000"/>
        </w:rPr>
        <w:t>ments, but perhaps consistent with liability difficulties which had occurred. For example, a pulmonary embolism was set at $26,000.</w:t>
      </w:r>
    </w:p>
    <w:p w14:paraId="7D7CB77F" w14:textId="77777777" w:rsidR="00000000" w:rsidRDefault="00A44D1E">
      <w:pPr>
        <w:widowControl w:val="0"/>
        <w:autoSpaceDE w:val="0"/>
        <w:autoSpaceDN w:val="0"/>
        <w:adjustRightInd w:val="0"/>
        <w:jc w:val="both"/>
        <w:rPr>
          <w:color w:val="000000"/>
        </w:rPr>
      </w:pPr>
      <w:r>
        <w:rPr>
          <w:color w:val="000000"/>
        </w:rPr>
        <w:t> </w:t>
      </w:r>
    </w:p>
    <w:p w14:paraId="34986C90" w14:textId="77777777" w:rsidR="00000000" w:rsidRDefault="00A44D1E">
      <w:pPr>
        <w:widowControl w:val="0"/>
        <w:autoSpaceDE w:val="0"/>
        <w:autoSpaceDN w:val="0"/>
        <w:adjustRightInd w:val="0"/>
        <w:jc w:val="both"/>
        <w:rPr>
          <w:color w:val="000000"/>
        </w:rPr>
      </w:pPr>
      <w:r w:rsidRPr="007C0754">
        <w:rPr>
          <w:color w:val="000000"/>
          <w:highlight w:val="yellow"/>
        </w:rPr>
        <w:t xml:space="preserve">If after the base sums were paid, there was money available, the committee envisioned </w:t>
      </w:r>
      <w:r w:rsidRPr="007C0754">
        <w:rPr>
          <w:color w:val="000000"/>
          <w:highlight w:val="yellow"/>
        </w:rPr>
        <w:t>“</w:t>
      </w:r>
      <w:r w:rsidRPr="007C0754">
        <w:rPr>
          <w:color w:val="000000"/>
          <w:highlight w:val="yellow"/>
        </w:rPr>
        <w:t>enhanced</w:t>
      </w:r>
      <w:r w:rsidRPr="007C0754">
        <w:rPr>
          <w:color w:val="000000"/>
          <w:highlight w:val="yellow"/>
        </w:rPr>
        <w:t>”</w:t>
      </w:r>
      <w:r w:rsidRPr="007C0754">
        <w:rPr>
          <w:color w:val="000000"/>
          <w:highlight w:val="yellow"/>
        </w:rPr>
        <w:t xml:space="preserve"> payments, which would wor</w:t>
      </w:r>
      <w:r w:rsidRPr="007C0754">
        <w:rPr>
          <w:color w:val="000000"/>
          <w:highlight w:val="yellow"/>
        </w:rPr>
        <w:t xml:space="preserve">k by awarding points. For example, long hospitalization would be 3 points: under the age 25 was 2 points: and death with </w:t>
      </w:r>
      <w:proofErr w:type="spellStart"/>
      <w:r w:rsidRPr="007C0754">
        <w:rPr>
          <w:color w:val="000000"/>
          <w:highlight w:val="yellow"/>
        </w:rPr>
        <w:t>dependants</w:t>
      </w:r>
      <w:proofErr w:type="spellEnd"/>
      <w:r w:rsidRPr="007C0754">
        <w:rPr>
          <w:color w:val="000000"/>
          <w:highlight w:val="yellow"/>
        </w:rPr>
        <w:t xml:space="preserve"> 4 points.</w:t>
      </w:r>
      <w:r>
        <w:rPr>
          <w:color w:val="000000"/>
        </w:rPr>
        <w:t xml:space="preserve"> Rather than the usual method of deducting for obesity, smoking and the like, their absence added points!</w:t>
      </w:r>
    </w:p>
    <w:p w14:paraId="568999AB" w14:textId="77777777" w:rsidR="00000000" w:rsidRDefault="00A44D1E">
      <w:pPr>
        <w:widowControl w:val="0"/>
        <w:autoSpaceDE w:val="0"/>
        <w:autoSpaceDN w:val="0"/>
        <w:adjustRightInd w:val="0"/>
        <w:jc w:val="both"/>
        <w:rPr>
          <w:color w:val="000000"/>
        </w:rPr>
      </w:pPr>
      <w:r>
        <w:rPr>
          <w:color w:val="000000"/>
        </w:rPr>
        <w:t> </w:t>
      </w:r>
    </w:p>
    <w:p w14:paraId="77D9084A" w14:textId="77777777" w:rsidR="00000000" w:rsidRDefault="00A44D1E">
      <w:pPr>
        <w:widowControl w:val="0"/>
        <w:autoSpaceDE w:val="0"/>
        <w:autoSpaceDN w:val="0"/>
        <w:adjustRightInd w:val="0"/>
        <w:jc w:val="both"/>
        <w:rPr>
          <w:color w:val="000000"/>
        </w:rPr>
      </w:pPr>
      <w:r>
        <w:rPr>
          <w:color w:val="000000"/>
        </w:rPr>
        <w:t>In cons</w:t>
      </w:r>
      <w:r>
        <w:rPr>
          <w:color w:val="000000"/>
        </w:rPr>
        <w:t xml:space="preserve">ultation with an </w:t>
      </w:r>
      <w:r>
        <w:rPr>
          <w:color w:val="000000"/>
        </w:rPr>
        <w:t>“</w:t>
      </w:r>
      <w:r w:rsidRPr="007C0754">
        <w:rPr>
          <w:color w:val="000000"/>
          <w:highlight w:val="yellow"/>
        </w:rPr>
        <w:t>ethicist</w:t>
      </w:r>
      <w:bookmarkStart w:id="3" w:name="_GoBack"/>
      <w:bookmarkEnd w:id="3"/>
      <w:r>
        <w:rPr>
          <w:color w:val="000000"/>
        </w:rPr>
        <w:t>,</w:t>
      </w:r>
      <w:r>
        <w:rPr>
          <w:color w:val="000000"/>
        </w:rPr>
        <w:t>”</w:t>
      </w:r>
      <w:r>
        <w:rPr>
          <w:color w:val="000000"/>
        </w:rPr>
        <w:t xml:space="preserve"> who was a law professor, the committee also prepared what they called an </w:t>
      </w:r>
      <w:r>
        <w:rPr>
          <w:color w:val="000000"/>
        </w:rPr>
        <w:t>“</w:t>
      </w:r>
      <w:r>
        <w:rPr>
          <w:color w:val="000000"/>
        </w:rPr>
        <w:t>informed consent</w:t>
      </w:r>
      <w:r>
        <w:rPr>
          <w:color w:val="000000"/>
        </w:rPr>
        <w:t>”</w:t>
      </w:r>
      <w:r>
        <w:rPr>
          <w:color w:val="000000"/>
        </w:rPr>
        <w:t xml:space="preserve"> letter for a lawyer to send a client. It was a fairly coercive letter, tending to push claimants into the plan. If a woman did not opt </w:t>
      </w:r>
      <w:r>
        <w:rPr>
          <w:color w:val="000000"/>
        </w:rPr>
        <w:t>into the plan, the federal and New Jersey judges promulgated a set of rigorous requirements for continuing on with the litigation, including provide expert reports and medical records immediately.</w:t>
      </w:r>
    </w:p>
    <w:p w14:paraId="5C1FF08C" w14:textId="77777777" w:rsidR="00000000" w:rsidRDefault="00A44D1E">
      <w:pPr>
        <w:widowControl w:val="0"/>
        <w:autoSpaceDE w:val="0"/>
        <w:autoSpaceDN w:val="0"/>
        <w:adjustRightInd w:val="0"/>
        <w:jc w:val="both"/>
        <w:rPr>
          <w:color w:val="000000"/>
        </w:rPr>
      </w:pPr>
      <w:r>
        <w:rPr>
          <w:color w:val="000000"/>
        </w:rPr>
        <w:t> </w:t>
      </w:r>
    </w:p>
    <w:p w14:paraId="505C19D4" w14:textId="77777777" w:rsidR="00000000" w:rsidRDefault="00A44D1E">
      <w:pPr>
        <w:widowControl w:val="0"/>
        <w:autoSpaceDE w:val="0"/>
        <w:autoSpaceDN w:val="0"/>
        <w:adjustRightInd w:val="0"/>
        <w:jc w:val="both"/>
        <w:rPr>
          <w:color w:val="000000"/>
        </w:rPr>
      </w:pPr>
      <w:r>
        <w:rPr>
          <w:color w:val="000000"/>
        </w:rPr>
        <w:t>Unlike other recent settlement plans, this plan did not d</w:t>
      </w:r>
      <w:r>
        <w:rPr>
          <w:color w:val="000000"/>
        </w:rPr>
        <w:t>eal with liens which exist, whether governmental or private. If not reduced in some way, the lien could easily be larger than the amount the woman was to receive. Also, common fund expenses would reduce the amount a woman received; these had been set at 4.</w:t>
      </w:r>
      <w:r>
        <w:rPr>
          <w:color w:val="000000"/>
        </w:rPr>
        <w:t xml:space="preserve">5% of the recovery. And there was a </w:t>
      </w:r>
      <w:proofErr w:type="gramStart"/>
      <w:r>
        <w:rPr>
          <w:color w:val="000000"/>
        </w:rPr>
        <w:t>11 point</w:t>
      </w:r>
      <w:proofErr w:type="gramEnd"/>
      <w:r>
        <w:rPr>
          <w:color w:val="000000"/>
        </w:rPr>
        <w:t xml:space="preserve"> reduction of fees of attorneys to pay the common fund.</w:t>
      </w:r>
    </w:p>
    <w:p w14:paraId="7857B43A" w14:textId="77777777" w:rsidR="00000000" w:rsidRDefault="00A44D1E">
      <w:pPr>
        <w:widowControl w:val="0"/>
        <w:autoSpaceDE w:val="0"/>
        <w:autoSpaceDN w:val="0"/>
        <w:adjustRightInd w:val="0"/>
        <w:jc w:val="both"/>
        <w:rPr>
          <w:color w:val="000000"/>
        </w:rPr>
      </w:pPr>
      <w:r>
        <w:rPr>
          <w:color w:val="000000"/>
        </w:rPr>
        <w:t> </w:t>
      </w:r>
    </w:p>
    <w:p w14:paraId="57AA0995" w14:textId="77777777" w:rsidR="00000000" w:rsidRDefault="00A44D1E">
      <w:pPr>
        <w:widowControl w:val="0"/>
        <w:autoSpaceDE w:val="0"/>
        <w:autoSpaceDN w:val="0"/>
        <w:adjustRightInd w:val="0"/>
        <w:jc w:val="both"/>
        <w:rPr>
          <w:color w:val="000000"/>
        </w:rPr>
      </w:pPr>
      <w:r>
        <w:rPr>
          <w:color w:val="000000"/>
        </w:rPr>
        <w:t xml:space="preserve">As the workout of payment of fees and expenses from the common fund, see </w:t>
      </w:r>
      <w:proofErr w:type="spellStart"/>
      <w:r>
        <w:rPr>
          <w:color w:val="000000"/>
        </w:rPr>
        <w:t>supp</w:t>
      </w:r>
      <w:proofErr w:type="spellEnd"/>
      <w:r>
        <w:rPr>
          <w:color w:val="000000"/>
        </w:rPr>
        <w:t xml:space="preserve"> </w:t>
      </w:r>
      <w:hyperlink r:id="rId9" w:history="1">
        <w:r>
          <w:rPr>
            <w:color w:val="000000"/>
          </w:rPr>
          <w:t>§ 7:62.50</w:t>
        </w:r>
      </w:hyperlink>
      <w:r>
        <w:rPr>
          <w:color w:val="000000"/>
        </w:rPr>
        <w:t>.</w:t>
      </w:r>
    </w:p>
    <w:p w14:paraId="313E845A" w14:textId="77777777" w:rsidR="00000000" w:rsidRDefault="00A44D1E">
      <w:pPr>
        <w:widowControl w:val="0"/>
        <w:autoSpaceDE w:val="0"/>
        <w:autoSpaceDN w:val="0"/>
        <w:adjustRightInd w:val="0"/>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14:paraId="1DFEC62C" w14:textId="77777777">
        <w:tblPrEx>
          <w:tblCellMar>
            <w:top w:w="0" w:type="dxa"/>
            <w:left w:w="0" w:type="dxa"/>
            <w:bottom w:w="0" w:type="dxa"/>
            <w:right w:w="0" w:type="dxa"/>
          </w:tblCellMar>
        </w:tblPrEx>
        <w:tc>
          <w:tcPr>
            <w:tcW w:w="600" w:type="dxa"/>
            <w:tcBorders>
              <w:top w:val="nil"/>
              <w:left w:val="nil"/>
              <w:bottom w:val="nil"/>
              <w:right w:val="nil"/>
            </w:tcBorders>
          </w:tcPr>
          <w:bookmarkStart w:id="4" w:name="co_footnote_I84b8ecd004df11e8a3fdc0d07a5"/>
          <w:bookmarkEnd w:id="4"/>
          <w:p w14:paraId="466847C3" w14:textId="77777777" w:rsidR="00000000" w:rsidRDefault="00A44D1E">
            <w:pPr>
              <w:widowControl w:val="0"/>
              <w:autoSpaceDE w:val="0"/>
              <w:autoSpaceDN w:val="0"/>
              <w:adjustRightInd w:val="0"/>
              <w:rPr>
                <w:color w:val="000000"/>
              </w:rPr>
            </w:pPr>
            <w:r>
              <w:rPr>
                <w:color w:val="000000"/>
              </w:rPr>
              <w:fldChar w:fldCharType="begin"/>
            </w:r>
            <w:r>
              <w:rPr>
                <w:color w:val="000000"/>
              </w:rPr>
              <w:instrText>HYPERLINK</w:instrText>
            </w:r>
            <w:r>
              <w:rPr>
                <w:color w:val="000000"/>
              </w:rPr>
              <w:instrText xml:space="preserve"> "#co_footnoteReference_I84b8ecd004df11e8a3" </w:instrText>
            </w:r>
            <w:r w:rsidR="00A10695">
              <w:rPr>
                <w:color w:val="000000"/>
              </w:rPr>
            </w:r>
            <w:r>
              <w:rPr>
                <w:color w:val="000000"/>
              </w:rPr>
              <w:fldChar w:fldCharType="separate"/>
            </w:r>
            <w:r>
              <w:rPr>
                <w:color w:val="000000"/>
                <w:vertAlign w:val="superscript"/>
              </w:rPr>
              <w:t>*</w:t>
            </w:r>
            <w:r>
              <w:rPr>
                <w:color w:val="000000"/>
              </w:rPr>
              <w:fldChar w:fldCharType="end"/>
            </w:r>
          </w:p>
          <w:p w14:paraId="2995E03A" w14:textId="77777777" w:rsidR="00000000" w:rsidRDefault="00A44D1E">
            <w:pPr>
              <w:widowControl w:val="0"/>
              <w:autoSpaceDE w:val="0"/>
              <w:autoSpaceDN w:val="0"/>
              <w:adjustRightInd w:val="0"/>
              <w:rPr>
                <w:color w:val="000000"/>
              </w:rPr>
            </w:pPr>
          </w:p>
        </w:tc>
        <w:tc>
          <w:tcPr>
            <w:tcW w:w="9480" w:type="dxa"/>
            <w:tcBorders>
              <w:top w:val="nil"/>
              <w:left w:val="nil"/>
              <w:bottom w:val="nil"/>
              <w:right w:val="nil"/>
            </w:tcBorders>
            <w:tcMar>
              <w:top w:w="90" w:type="dxa"/>
              <w:bottom w:w="90" w:type="dxa"/>
            </w:tcMar>
          </w:tcPr>
          <w:p w14:paraId="75C7E97C" w14:textId="77777777" w:rsidR="00000000" w:rsidRDefault="00A44D1E">
            <w:pPr>
              <w:widowControl w:val="0"/>
              <w:autoSpaceDE w:val="0"/>
              <w:autoSpaceDN w:val="0"/>
              <w:adjustRightInd w:val="0"/>
              <w:spacing w:before="180"/>
              <w:rPr>
                <w:b/>
                <w:bCs/>
                <w:color w:val="000000"/>
                <w:sz w:val="18"/>
                <w:szCs w:val="18"/>
              </w:rPr>
            </w:pPr>
            <w:r>
              <w:rPr>
                <w:b/>
                <w:bCs/>
                <w:color w:val="000000"/>
                <w:sz w:val="18"/>
                <w:szCs w:val="18"/>
              </w:rPr>
              <w:t>About the Author</w:t>
            </w:r>
          </w:p>
          <w:p w14:paraId="115520C7" w14:textId="77777777" w:rsidR="00000000" w:rsidRDefault="00A44D1E">
            <w:pPr>
              <w:widowControl w:val="0"/>
              <w:autoSpaceDE w:val="0"/>
              <w:autoSpaceDN w:val="0"/>
              <w:adjustRightInd w:val="0"/>
              <w:jc w:val="both"/>
              <w:rPr>
                <w:color w:val="000000"/>
                <w:sz w:val="18"/>
                <w:szCs w:val="18"/>
              </w:rPr>
            </w:pPr>
            <w:r>
              <w:rPr>
                <w:color w:val="000000"/>
                <w:sz w:val="18"/>
                <w:szCs w:val="18"/>
              </w:rPr>
              <w:t>Paul D. Rheingold is the founding partner of Rheingold, Val</w:t>
            </w:r>
            <w:r>
              <w:rPr>
                <w:color w:val="000000"/>
                <w:sz w:val="18"/>
                <w:szCs w:val="18"/>
              </w:rPr>
              <w:t xml:space="preserve">et, Rheingold, McCartney &amp; </w:t>
            </w:r>
            <w:proofErr w:type="spellStart"/>
            <w:r>
              <w:rPr>
                <w:color w:val="000000"/>
                <w:sz w:val="18"/>
                <w:szCs w:val="18"/>
              </w:rPr>
              <w:t>Giuffra</w:t>
            </w:r>
            <w:proofErr w:type="spellEnd"/>
            <w:r>
              <w:rPr>
                <w:color w:val="000000"/>
                <w:sz w:val="18"/>
                <w:szCs w:val="18"/>
              </w:rPr>
              <w:t xml:space="preserve"> LLP, a law firm based in New York </w:t>
            </w:r>
            <w:r>
              <w:rPr>
                <w:color w:val="000000"/>
                <w:sz w:val="18"/>
                <w:szCs w:val="18"/>
              </w:rPr>
              <w:lastRenderedPageBreak/>
              <w:t xml:space="preserve">City. He has long been active in mass tort work, including leadership and educational roles in over 20 drug and medical device mass torts. These have included litigations involving </w:t>
            </w:r>
            <w:proofErr w:type="spellStart"/>
            <w:r>
              <w:rPr>
                <w:color w:val="000000"/>
                <w:sz w:val="18"/>
                <w:szCs w:val="18"/>
              </w:rPr>
              <w:t>NuvaRi</w:t>
            </w:r>
            <w:r>
              <w:rPr>
                <w:color w:val="000000"/>
                <w:sz w:val="18"/>
                <w:szCs w:val="18"/>
              </w:rPr>
              <w:t>ng</w:t>
            </w:r>
            <w:proofErr w:type="spellEnd"/>
            <w:r>
              <w:rPr>
                <w:color w:val="000000"/>
                <w:sz w:val="18"/>
                <w:szCs w:val="18"/>
              </w:rPr>
              <w:t xml:space="preserve">, </w:t>
            </w:r>
            <w:proofErr w:type="spellStart"/>
            <w:r>
              <w:rPr>
                <w:color w:val="000000"/>
                <w:sz w:val="18"/>
                <w:szCs w:val="18"/>
              </w:rPr>
              <w:t>Bextra</w:t>
            </w:r>
            <w:proofErr w:type="spellEnd"/>
            <w:r>
              <w:rPr>
                <w:color w:val="000000"/>
                <w:sz w:val="18"/>
                <w:szCs w:val="18"/>
              </w:rPr>
              <w:t xml:space="preserve">, </w:t>
            </w:r>
            <w:proofErr w:type="spellStart"/>
            <w:r>
              <w:rPr>
                <w:color w:val="000000"/>
                <w:sz w:val="18"/>
                <w:szCs w:val="18"/>
              </w:rPr>
              <w:t>Vioxx</w:t>
            </w:r>
            <w:proofErr w:type="spellEnd"/>
            <w:r>
              <w:rPr>
                <w:color w:val="000000"/>
                <w:sz w:val="18"/>
                <w:szCs w:val="18"/>
              </w:rPr>
              <w:t xml:space="preserve">, ephedra, PPA (phenylpropanolamine), diet pills, MER-29, Albuterol, L-tryptophan, </w:t>
            </w:r>
            <w:proofErr w:type="spellStart"/>
            <w:r>
              <w:rPr>
                <w:color w:val="000000"/>
                <w:sz w:val="18"/>
                <w:szCs w:val="18"/>
              </w:rPr>
              <w:t>Dalkon</w:t>
            </w:r>
            <w:proofErr w:type="spellEnd"/>
            <w:r>
              <w:rPr>
                <w:color w:val="000000"/>
                <w:sz w:val="18"/>
                <w:szCs w:val="18"/>
              </w:rPr>
              <w:t xml:space="preserve"> Shield, and others. A cum laude graduate of Harvard Law School, Mr. Rheingold is the former national secretary of the American Association for Justic</w:t>
            </w:r>
            <w:r>
              <w:rPr>
                <w:color w:val="000000"/>
                <w:sz w:val="18"/>
                <w:szCs w:val="18"/>
              </w:rPr>
              <w:t>e; he has been a faculty member at Harvard Law School, a visiting scholar at Stanford Law School and the RAND Institute; and he has lectured at many other law schools. He is a member of the New York, Massachusetts, and District of Columbia Bars.</w:t>
            </w:r>
          </w:p>
          <w:p w14:paraId="09D726F9" w14:textId="77777777" w:rsidR="00000000" w:rsidRDefault="00A44D1E">
            <w:pPr>
              <w:widowControl w:val="0"/>
              <w:autoSpaceDE w:val="0"/>
              <w:autoSpaceDN w:val="0"/>
              <w:adjustRightInd w:val="0"/>
              <w:rPr>
                <w:color w:val="000000"/>
                <w:sz w:val="18"/>
                <w:szCs w:val="18"/>
              </w:rPr>
            </w:pPr>
          </w:p>
        </w:tc>
      </w:tr>
    </w:tbl>
    <w:p w14:paraId="520543CD" w14:textId="77777777" w:rsidR="00000000" w:rsidRDefault="00A44D1E">
      <w:pPr>
        <w:widowControl w:val="0"/>
        <w:autoSpaceDE w:val="0"/>
        <w:autoSpaceDN w:val="0"/>
        <w:adjustRightInd w:val="0"/>
        <w:jc w:val="both"/>
        <w:rPr>
          <w:color w:val="000000"/>
        </w:rPr>
      </w:pPr>
    </w:p>
    <w:p w14:paraId="2F06E3B2" w14:textId="77777777" w:rsidR="00000000" w:rsidRDefault="00A44D1E">
      <w:pPr>
        <w:widowControl w:val="0"/>
        <w:autoSpaceDE w:val="0"/>
        <w:autoSpaceDN w:val="0"/>
        <w:adjustRightInd w:val="0"/>
        <w:spacing w:before="420"/>
        <w:jc w:val="both"/>
        <w:rPr>
          <w:color w:val="757575"/>
          <w:sz w:val="16"/>
          <w:szCs w:val="16"/>
        </w:rPr>
      </w:pPr>
      <w:r>
        <w:rPr>
          <w:color w:val="757575"/>
          <w:sz w:val="16"/>
          <w:szCs w:val="16"/>
        </w:rPr>
        <w:t>Westlaw</w:t>
      </w:r>
      <w:r>
        <w:rPr>
          <w:color w:val="757575"/>
          <w:sz w:val="16"/>
          <w:szCs w:val="16"/>
        </w:rPr>
        <w:t xml:space="preserve">. </w:t>
      </w:r>
      <w:r>
        <w:rPr>
          <w:color w:val="757575"/>
          <w:sz w:val="16"/>
          <w:szCs w:val="16"/>
        </w:rPr>
        <w:t>©</w:t>
      </w:r>
      <w:r>
        <w:rPr>
          <w:color w:val="757575"/>
          <w:sz w:val="16"/>
          <w:szCs w:val="16"/>
        </w:rPr>
        <w:t xml:space="preserve"> 2018 Thomson Reuters. No Claim to Orig. U.S. Govt. Works.</w:t>
      </w: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14:paraId="28831A16" w14:textId="77777777">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14:paraId="3659DD6F" w14:textId="77777777" w:rsidR="00000000" w:rsidRDefault="00A44D1E">
            <w:pPr>
              <w:widowControl w:val="0"/>
              <w:autoSpaceDE w:val="0"/>
              <w:autoSpaceDN w:val="0"/>
              <w:adjustRightInd w:val="0"/>
              <w:ind w:left="24" w:right="24"/>
              <w:rPr>
                <w:b/>
                <w:bCs/>
                <w:color w:val="777777"/>
                <w:sz w:val="16"/>
                <w:szCs w:val="16"/>
              </w:rPr>
            </w:pPr>
            <w:r>
              <w:rPr>
                <w:b/>
                <w:bCs/>
                <w:color w:val="777777"/>
                <w:sz w:val="16"/>
                <w:szCs w:val="16"/>
              </w:rPr>
              <w:t>End of Document</w:t>
            </w:r>
          </w:p>
          <w:p w14:paraId="3090C6E3" w14:textId="77777777" w:rsidR="00000000" w:rsidRDefault="00A44D1E">
            <w:pPr>
              <w:widowControl w:val="0"/>
              <w:autoSpaceDE w:val="0"/>
              <w:autoSpaceDN w:val="0"/>
              <w:adjustRightInd w:val="0"/>
              <w:ind w:left="24" w:right="24"/>
              <w:rPr>
                <w:b/>
                <w:bCs/>
                <w:color w:val="777777"/>
                <w:sz w:val="16"/>
                <w:szCs w:val="16"/>
              </w:rPr>
            </w:pPr>
          </w:p>
        </w:tc>
        <w:tc>
          <w:tcPr>
            <w:tcW w:w="5760" w:type="dxa"/>
            <w:tcBorders>
              <w:top w:val="single" w:sz="4" w:space="0" w:color="777777"/>
              <w:left w:val="nil"/>
              <w:bottom w:val="nil"/>
              <w:right w:val="nil"/>
            </w:tcBorders>
            <w:tcMar>
              <w:top w:w="100" w:type="dxa"/>
              <w:left w:w="30" w:type="dxa"/>
              <w:right w:w="30" w:type="dxa"/>
            </w:tcMar>
          </w:tcPr>
          <w:p w14:paraId="3D2ACAF5" w14:textId="77777777" w:rsidR="00000000" w:rsidRDefault="00A44D1E">
            <w:pPr>
              <w:widowControl w:val="0"/>
              <w:autoSpaceDE w:val="0"/>
              <w:autoSpaceDN w:val="0"/>
              <w:adjustRightInd w:val="0"/>
              <w:ind w:left="30" w:right="30"/>
              <w:jc w:val="right"/>
              <w:rPr>
                <w:color w:val="777777"/>
              </w:rPr>
            </w:pPr>
            <w:r>
              <w:rPr>
                <w:color w:val="777777"/>
              </w:rPr>
              <w:t>©</w:t>
            </w:r>
            <w:r>
              <w:rPr>
                <w:color w:val="777777"/>
              </w:rPr>
              <w:t xml:space="preserve"> 2018 Thomson Reuters. No claim to original U.S. Government Works.</w:t>
            </w:r>
          </w:p>
          <w:p w14:paraId="2DB8E056" w14:textId="77777777" w:rsidR="00000000" w:rsidRDefault="00A44D1E">
            <w:pPr>
              <w:widowControl w:val="0"/>
              <w:autoSpaceDE w:val="0"/>
              <w:autoSpaceDN w:val="0"/>
              <w:adjustRightInd w:val="0"/>
              <w:ind w:left="30" w:right="30"/>
              <w:jc w:val="right"/>
              <w:rPr>
                <w:color w:val="777777"/>
              </w:rPr>
            </w:pPr>
          </w:p>
        </w:tc>
      </w:tr>
    </w:tbl>
    <w:p w14:paraId="488C8579" w14:textId="77777777" w:rsidR="00000000" w:rsidRDefault="00A44D1E">
      <w:pPr>
        <w:widowControl w:val="0"/>
        <w:autoSpaceDE w:val="0"/>
        <w:autoSpaceDN w:val="0"/>
        <w:adjustRightInd w:val="0"/>
        <w:jc w:val="both"/>
        <w:rPr>
          <w:color w:val="000000"/>
        </w:rPr>
      </w:pPr>
    </w:p>
    <w:p w14:paraId="51E957BC" w14:textId="77777777" w:rsidR="00A44D1E" w:rsidRDefault="00A44D1E">
      <w:pPr>
        <w:widowControl w:val="0"/>
        <w:autoSpaceDE w:val="0"/>
        <w:autoSpaceDN w:val="0"/>
        <w:adjustRightInd w:val="0"/>
        <w:rPr>
          <w:rFonts w:ascii="Arial" w:hAnsi="Arial" w:cs="Arial"/>
        </w:rPr>
      </w:pPr>
    </w:p>
    <w:sectPr w:rsidR="00A44D1E">
      <w:type w:val="continuous"/>
      <w:pgSz w:w="12240" w:h="15840"/>
      <w:pgMar w:top="180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0050A" w14:textId="77777777" w:rsidR="00A44D1E" w:rsidRDefault="00A44D1E">
      <w:r>
        <w:separator/>
      </w:r>
    </w:p>
  </w:endnote>
  <w:endnote w:type="continuationSeparator" w:id="0">
    <w:p w14:paraId="42228EB8" w14:textId="77777777" w:rsidR="00A44D1E" w:rsidRDefault="00A4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14:paraId="1A95EF2A" w14:textId="77777777">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14:paraId="52942DB0" w14:textId="10B214A8" w:rsidR="00000000" w:rsidRDefault="00A10695">
          <w:pPr>
            <w:widowControl w:val="0"/>
            <w:autoSpaceDE w:val="0"/>
            <w:autoSpaceDN w:val="0"/>
            <w:adjustRightInd w:val="0"/>
            <w:rPr>
              <w:rFonts w:ascii="Arial" w:hAnsi="Arial" w:cs="Arial"/>
              <w:color w:val="AAAAAA"/>
            </w:rPr>
          </w:pPr>
          <w:r>
            <w:rPr>
              <w:rFonts w:ascii="Arial" w:hAnsi="Arial" w:cs="Arial"/>
              <w:noProof/>
              <w:color w:val="AAAAAA"/>
            </w:rPr>
            <w:drawing>
              <wp:inline distT="0" distB="0" distL="0" distR="0" wp14:anchorId="42C52A8A" wp14:editId="70DE06A6">
                <wp:extent cx="742950" cy="9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7790"/>
                        </a:xfrm>
                        <a:prstGeom prst="rect">
                          <a:avLst/>
                        </a:prstGeom>
                        <a:noFill/>
                        <a:ln>
                          <a:noFill/>
                        </a:ln>
                      </pic:spPr>
                    </pic:pic>
                  </a:graphicData>
                </a:graphic>
              </wp:inline>
            </w:drawing>
          </w:r>
          <w:r w:rsidR="00A44D1E">
            <w:rPr>
              <w:rFonts w:ascii="Arial" w:hAnsi="Arial" w:cs="Arial"/>
              <w:color w:val="AAAAAA"/>
            </w:rPr>
            <w:t xml:space="preserve"> </w:t>
          </w:r>
          <w:r w:rsidR="00A44D1E">
            <w:rPr>
              <w:rFonts w:ascii="Arial" w:hAnsi="Arial" w:cs="Arial"/>
              <w:color w:val="AAAAAA"/>
            </w:rPr>
            <w:t>©</w:t>
          </w:r>
          <w:r w:rsidR="00A44D1E">
            <w:rPr>
              <w:rFonts w:ascii="Arial" w:hAnsi="Arial" w:cs="Arial"/>
              <w:color w:val="AAAAAA"/>
            </w:rPr>
            <w:t xml:space="preserve"> 2018 Thomson Reuters. No claim to original U.S. Government Works.</w:t>
          </w:r>
        </w:p>
      </w:tc>
      <w:tc>
        <w:tcPr>
          <w:tcW w:w="700" w:type="dxa"/>
          <w:tcBorders>
            <w:top w:val="single" w:sz="8" w:space="0" w:color="AAAAAA"/>
            <w:left w:val="nil"/>
            <w:bottom w:val="nil"/>
            <w:right w:val="nil"/>
          </w:tcBorders>
          <w:tcMar>
            <w:top w:w="60" w:type="dxa"/>
          </w:tcMar>
        </w:tcPr>
        <w:p w14:paraId="19A99A6C" w14:textId="77777777" w:rsidR="00000000" w:rsidRDefault="00A44D1E">
          <w:pPr>
            <w:widowControl w:val="0"/>
            <w:autoSpaceDE w:val="0"/>
            <w:autoSpaceDN w:val="0"/>
            <w:adjustRightInd w:val="0"/>
            <w:jc w:val="right"/>
            <w:rPr>
              <w:rFonts w:ascii="Arial" w:hAnsi="Arial" w:cs="Arial"/>
              <w:color w:val="AAAAAA"/>
            </w:rPr>
          </w:pPr>
          <w:r>
            <w:rPr>
              <w:rFonts w:ascii="Arial" w:hAnsi="Arial" w:cs="Arial"/>
              <w:color w:val="AAAAAA"/>
            </w:rPr>
            <w:pgNum/>
          </w:r>
        </w:p>
      </w:tc>
    </w:tr>
  </w:tbl>
  <w:p w14:paraId="0504CE24" w14:textId="77777777" w:rsidR="00000000" w:rsidRDefault="00A44D1E">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DEB9" w14:textId="77777777" w:rsidR="00A44D1E" w:rsidRDefault="00A44D1E">
      <w:r>
        <w:separator/>
      </w:r>
    </w:p>
  </w:footnote>
  <w:footnote w:type="continuationSeparator" w:id="0">
    <w:p w14:paraId="1C7BF6D7" w14:textId="77777777" w:rsidR="00A44D1E" w:rsidRDefault="00A44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14:paraId="44D49744" w14:textId="77777777">
      <w:tblPrEx>
        <w:tblCellMar>
          <w:top w:w="0" w:type="dxa"/>
          <w:left w:w="0" w:type="dxa"/>
          <w:bottom w:w="0" w:type="dxa"/>
          <w:right w:w="0" w:type="dxa"/>
        </w:tblCellMar>
      </w:tblPrEx>
      <w:trPr>
        <w:gridAfter w:val="1"/>
        <w:wAfter w:w="700" w:type="dxa"/>
      </w:trPr>
      <w:tc>
        <w:tcPr>
          <w:tcW w:w="9380" w:type="dxa"/>
          <w:tcBorders>
            <w:top w:val="nil"/>
            <w:left w:val="nil"/>
            <w:bottom w:val="nil"/>
            <w:right w:val="nil"/>
          </w:tcBorders>
          <w:tcMar>
            <w:top w:w="400" w:type="dxa"/>
            <w:bottom w:w="60" w:type="dxa"/>
          </w:tcMar>
          <w:vAlign w:val="bottom"/>
        </w:tcPr>
        <w:p w14:paraId="00170097" w14:textId="77777777" w:rsidR="00000000" w:rsidRDefault="00A44D1E">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Burch, Elizabeth</w:t>
          </w:r>
          <w:r>
            <w:rPr>
              <w:rFonts w:ascii="Arial" w:hAnsi="Arial" w:cs="Arial"/>
              <w:color w:val="000000"/>
              <w:sz w:val="18"/>
              <w:szCs w:val="18"/>
            </w:rPr>
            <w:t xml:space="preserve"> </w:t>
          </w:r>
          <w:r>
            <w:rPr>
              <w:rFonts w:ascii="Arial" w:hAnsi="Arial" w:cs="Arial"/>
              <w:b/>
              <w:bCs/>
              <w:color w:val="000000"/>
              <w:sz w:val="18"/>
              <w:szCs w:val="18"/>
            </w:rPr>
            <w:t>2/19/2018</w:t>
          </w:r>
        </w:p>
        <w:p w14:paraId="0D7E6425" w14:textId="77777777" w:rsidR="00000000" w:rsidRDefault="00A44D1E">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000000" w14:paraId="1DB7088F" w14:textId="77777777">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14:paraId="2ABBD933" w14:textId="77777777" w:rsidR="00000000" w:rsidRDefault="00A44D1E">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w:t>
          </w:r>
          <w:r>
            <w:rPr>
              <w:rFonts w:ascii="Arial" w:hAnsi="Arial" w:cs="Arial"/>
              <w:b/>
              <w:bCs/>
              <w:color w:val="555555"/>
              <w:sz w:val="18"/>
              <w:szCs w:val="18"/>
            </w:rPr>
            <w:t xml:space="preserve"> 9:39.</w:t>
          </w:r>
          <w:proofErr w:type="gramStart"/>
          <w:r>
            <w:rPr>
              <w:rFonts w:ascii="Arial" w:hAnsi="Arial" w:cs="Arial"/>
              <w:b/>
              <w:bCs/>
              <w:color w:val="555555"/>
              <w:sz w:val="18"/>
              <w:szCs w:val="18"/>
            </w:rPr>
            <w:t>99.NuvaRing</w:t>
          </w:r>
          <w:proofErr w:type="gramEnd"/>
          <w:r>
            <w:rPr>
              <w:rFonts w:ascii="Arial" w:hAnsi="Arial" w:cs="Arial"/>
              <w:b/>
              <w:bCs/>
              <w:color w:val="555555"/>
              <w:sz w:val="18"/>
              <w:szCs w:val="18"/>
            </w:rPr>
            <w:t xml:space="preserve"> settlement, Litigating Mass Tort Cases </w:t>
          </w:r>
          <w:r>
            <w:rPr>
              <w:rFonts w:ascii="Arial" w:hAnsi="Arial" w:cs="Arial"/>
              <w:b/>
              <w:bCs/>
              <w:color w:val="555555"/>
              <w:sz w:val="18"/>
              <w:szCs w:val="18"/>
            </w:rPr>
            <w:t>§</w:t>
          </w:r>
          <w:r>
            <w:rPr>
              <w:rFonts w:ascii="Arial" w:hAnsi="Arial" w:cs="Arial"/>
              <w:b/>
              <w:bCs/>
              <w:color w:val="555555"/>
              <w:sz w:val="18"/>
              <w:szCs w:val="18"/>
            </w:rPr>
            <w:t xml:space="preserve"> 9:39.99</w:t>
          </w:r>
        </w:p>
      </w:tc>
      <w:tc>
        <w:tcPr>
          <w:tcW w:w="700" w:type="dxa"/>
          <w:tcBorders>
            <w:top w:val="nil"/>
            <w:left w:val="nil"/>
            <w:bottom w:val="single" w:sz="8" w:space="0" w:color="AAAAAA"/>
            <w:right w:val="nil"/>
          </w:tcBorders>
          <w:tcMar>
            <w:top w:w="400" w:type="dxa"/>
            <w:bottom w:w="60" w:type="dxa"/>
          </w:tcMar>
        </w:tcPr>
        <w:p w14:paraId="03884476" w14:textId="77777777" w:rsidR="00000000" w:rsidRDefault="00A44D1E">
          <w:pPr>
            <w:widowControl w:val="0"/>
            <w:autoSpaceDE w:val="0"/>
            <w:autoSpaceDN w:val="0"/>
            <w:adjustRightInd w:val="0"/>
            <w:jc w:val="right"/>
            <w:rPr>
              <w:rFonts w:ascii="Arial" w:hAnsi="Arial" w:cs="Arial"/>
              <w:color w:val="000000"/>
              <w:sz w:val="18"/>
              <w:szCs w:val="18"/>
            </w:rPr>
          </w:pPr>
        </w:p>
      </w:tc>
    </w:tr>
    <w:tr w:rsidR="00000000" w14:paraId="771FF415" w14:textId="77777777">
      <w:tblPrEx>
        <w:tblCellMar>
          <w:top w:w="0" w:type="dxa"/>
          <w:left w:w="0" w:type="dxa"/>
          <w:bottom w:w="0" w:type="dxa"/>
          <w:right w:w="0" w:type="dxa"/>
        </w:tblCellMar>
      </w:tblPrEx>
      <w:tc>
        <w:tcPr>
          <w:tcW w:w="10080" w:type="dxa"/>
          <w:gridSpan w:val="2"/>
          <w:tcBorders>
            <w:top w:val="nil"/>
            <w:left w:val="nil"/>
            <w:bottom w:val="nil"/>
            <w:right w:val="nil"/>
          </w:tcBorders>
        </w:tcPr>
        <w:p w14:paraId="11D01771" w14:textId="77777777" w:rsidR="00000000" w:rsidRDefault="00A44D1E">
          <w:pPr>
            <w:widowControl w:val="0"/>
            <w:autoSpaceDE w:val="0"/>
            <w:autoSpaceDN w:val="0"/>
            <w:adjustRightInd w:val="0"/>
            <w:rPr>
              <w:rFonts w:ascii="Arial" w:hAnsi="Arial" w:cs="Arial"/>
              <w:color w:val="000000"/>
              <w:sz w:val="18"/>
              <w:szCs w:val="18"/>
            </w:rPr>
          </w:pPr>
        </w:p>
      </w:tc>
    </w:tr>
  </w:tbl>
  <w:p w14:paraId="1FE3C603" w14:textId="77777777" w:rsidR="00000000" w:rsidRDefault="00A44D1E">
    <w:pPr>
      <w:widowControl w:val="0"/>
      <w:autoSpaceDE w:val="0"/>
      <w:autoSpaceDN w:val="0"/>
      <w:adjustRightInd w:val="0"/>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95"/>
    <w:rsid w:val="007C0754"/>
    <w:rsid w:val="00A10695"/>
    <w:rsid w:val="00A44D1E"/>
    <w:rsid w:val="00B1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373A48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westlaw.com/Link/Document/FullText?findType=Y&amp;pubNum=142907&amp;cite=MTL+CH+9+REF&amp;originatingDoc=I30ba47b8f24011e39b04b2440dd07f32&amp;refType=DA&amp;originationContext=document&amp;vr=3.0&amp;rs=cblt1.0&amp;transitionType=DocumentItem&amp;contextData=(sc.Category)" TargetMode="External"/><Relationship Id="rId9" Type="http://schemas.openxmlformats.org/officeDocument/2006/relationships/hyperlink" Target="http://www.westlaw.com/Link/Document/FullText?findType=Y&amp;pubNum=142907&amp;cite=MTLs7%3a62.50&amp;originatingDoc=I30ba47b8f24011e39b04b2440dd07f32&amp;refType=NA&amp;originationContext=document&amp;vr=3.0&amp;rs=cblt1.0&amp;transitionType=DocumentItem&amp;contextData=(sc.Categor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Burch</cp:lastModifiedBy>
  <cp:revision>3</cp:revision>
  <dcterms:created xsi:type="dcterms:W3CDTF">2018-02-19T20:09:00Z</dcterms:created>
  <dcterms:modified xsi:type="dcterms:W3CDTF">2018-02-19T20:24:00Z</dcterms:modified>
</cp:coreProperties>
</file>