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E4CF2D" w14:textId="77777777" w:rsidR="000E5BB0" w:rsidRDefault="000E5BB0">
      <w:pPr>
        <w:widowControl w:val="0"/>
        <w:autoSpaceDE w:val="0"/>
        <w:autoSpaceDN w:val="0"/>
        <w:adjustRightInd w:val="0"/>
        <w:jc w:val="both"/>
        <w:rPr>
          <w:color w:val="000000"/>
        </w:rPr>
      </w:pPr>
    </w:p>
    <w:p w14:paraId="26ECBCCD" w14:textId="77777777" w:rsidR="000E5BB0" w:rsidRDefault="000E5BB0">
      <w:pPr>
        <w:widowControl w:val="0"/>
        <w:autoSpaceDE w:val="0"/>
        <w:autoSpaceDN w:val="0"/>
        <w:adjustRightInd w:val="0"/>
        <w:rPr>
          <w:rFonts w:ascii="Arial" w:hAnsi="Arial" w:cs="Arial"/>
        </w:rPr>
        <w:sectPr w:rsidR="000E5BB0">
          <w:headerReference w:type="default" r:id="rId8"/>
          <w:footerReference w:type="default" r:id="rId9"/>
          <w:pgSz w:w="12240" w:h="15840"/>
          <w:pgMar w:top="1800" w:right="1080" w:bottom="1080" w:left="1080" w:header="720" w:footer="720" w:gutter="0"/>
          <w:cols w:space="720"/>
          <w:noEndnote/>
        </w:sectPr>
      </w:pPr>
    </w:p>
    <w:p w14:paraId="6313DAF0" w14:textId="77777777" w:rsidR="000E5BB0" w:rsidRDefault="000E5BB0">
      <w:pPr>
        <w:widowControl w:val="0"/>
        <w:autoSpaceDE w:val="0"/>
        <w:autoSpaceDN w:val="0"/>
        <w:adjustRightInd w:val="0"/>
        <w:rPr>
          <w:color w:val="000000"/>
        </w:rPr>
      </w:pPr>
      <w:bookmarkStart w:id="0" w:name="co_document_1"/>
      <w:bookmarkStart w:id="1" w:name="I30ba47b2f24011e39b04b2440dd07f32_Target"/>
      <w:bookmarkEnd w:id="0"/>
      <w:bookmarkEnd w:id="1"/>
    </w:p>
    <w:p w14:paraId="0BC31A8F" w14:textId="77777777" w:rsidR="000E5BB0" w:rsidRDefault="009A3D18">
      <w:pPr>
        <w:widowControl w:val="0"/>
        <w:autoSpaceDE w:val="0"/>
        <w:autoSpaceDN w:val="0"/>
        <w:adjustRightInd w:val="0"/>
        <w:spacing w:after="200"/>
        <w:rPr>
          <w:b/>
          <w:bCs/>
          <w:color w:val="000000"/>
        </w:rPr>
      </w:pPr>
      <w:r>
        <w:rPr>
          <w:b/>
          <w:bCs/>
          <w:color w:val="000000"/>
        </w:rPr>
        <w:t>Litigating Mass Tort Cases § 9:39.80</w:t>
      </w:r>
    </w:p>
    <w:p w14:paraId="56DE8C9B" w14:textId="77777777" w:rsidR="000E5BB0" w:rsidRDefault="009A3D18">
      <w:pPr>
        <w:widowControl w:val="0"/>
        <w:autoSpaceDE w:val="0"/>
        <w:autoSpaceDN w:val="0"/>
        <w:adjustRightInd w:val="0"/>
        <w:spacing w:before="182"/>
        <w:rPr>
          <w:color w:val="6B6B6A"/>
          <w:sz w:val="18"/>
          <w:szCs w:val="18"/>
        </w:rPr>
      </w:pPr>
      <w:r>
        <w:rPr>
          <w:color w:val="6B6B6A"/>
          <w:sz w:val="18"/>
          <w:szCs w:val="18"/>
        </w:rPr>
        <w:t>Litigating Mass Tort Cases</w:t>
      </w:r>
      <w:r>
        <w:rPr>
          <w:color w:val="E8E9E8"/>
          <w:sz w:val="18"/>
          <w:szCs w:val="18"/>
        </w:rPr>
        <w:t xml:space="preserve"> | </w:t>
      </w:r>
      <w:r>
        <w:rPr>
          <w:color w:val="6B6B6A"/>
          <w:sz w:val="18"/>
          <w:szCs w:val="18"/>
        </w:rPr>
        <w:t>January 2018 Update</w:t>
      </w:r>
    </w:p>
    <w:p w14:paraId="32C4FA0A" w14:textId="77777777" w:rsidR="000E5BB0" w:rsidRDefault="009A3D18">
      <w:pPr>
        <w:widowControl w:val="0"/>
        <w:autoSpaceDE w:val="0"/>
        <w:autoSpaceDN w:val="0"/>
        <w:adjustRightInd w:val="0"/>
        <w:rPr>
          <w:color w:val="6B6B6A"/>
          <w:sz w:val="13"/>
          <w:szCs w:val="13"/>
        </w:rPr>
      </w:pPr>
      <w:r>
        <w:rPr>
          <w:color w:val="6B6B6A"/>
          <w:sz w:val="18"/>
          <w:szCs w:val="18"/>
        </w:rPr>
        <w:t>Paul D. Rheingold</w:t>
      </w:r>
      <w:bookmarkStart w:id="2" w:name="co_footnoteReference_I84aeb3a004df11e8a3"/>
      <w:bookmarkEnd w:id="2"/>
      <w:r>
        <w:rPr>
          <w:color w:val="6B6B6A"/>
          <w:sz w:val="13"/>
          <w:szCs w:val="13"/>
        </w:rPr>
        <w:fldChar w:fldCharType="begin"/>
      </w:r>
      <w:r>
        <w:rPr>
          <w:color w:val="6B6B6A"/>
          <w:sz w:val="13"/>
          <w:szCs w:val="13"/>
        </w:rPr>
        <w:instrText xml:space="preserve">HYPERLINK "#co_footnote_I84aeb3a004df11e8a3fdc0d07a5" </w:instrText>
      </w:r>
      <w:r>
        <w:rPr>
          <w:color w:val="6B6B6A"/>
          <w:sz w:val="13"/>
          <w:szCs w:val="13"/>
        </w:rPr>
        <w:fldChar w:fldCharType="separate"/>
      </w:r>
      <w:r>
        <w:rPr>
          <w:color w:val="000000"/>
          <w:sz w:val="13"/>
          <w:szCs w:val="13"/>
          <w:vertAlign w:val="superscript"/>
        </w:rPr>
        <w:t>*</w:t>
      </w:r>
      <w:r>
        <w:rPr>
          <w:color w:val="6B6B6A"/>
          <w:sz w:val="13"/>
          <w:szCs w:val="13"/>
        </w:rPr>
        <w:fldChar w:fldCharType="end"/>
      </w:r>
    </w:p>
    <w:p w14:paraId="49B92268" w14:textId="77777777" w:rsidR="000E5BB0" w:rsidRDefault="009A3D18">
      <w:pPr>
        <w:widowControl w:val="0"/>
        <w:autoSpaceDE w:val="0"/>
        <w:autoSpaceDN w:val="0"/>
        <w:adjustRightInd w:val="0"/>
        <w:rPr>
          <w:color w:val="6B6B6A"/>
          <w:sz w:val="18"/>
          <w:szCs w:val="18"/>
        </w:rPr>
      </w:pPr>
      <w:r>
        <w:rPr>
          <w:color w:val="6B6B6A"/>
          <w:sz w:val="18"/>
          <w:szCs w:val="18"/>
        </w:rPr>
        <w:t>Part One. Law and Practice of Mass Tort Litigation</w:t>
      </w:r>
    </w:p>
    <w:p w14:paraId="5E69C247" w14:textId="77777777" w:rsidR="000E5BB0" w:rsidRDefault="009A3D18">
      <w:pPr>
        <w:widowControl w:val="0"/>
        <w:autoSpaceDE w:val="0"/>
        <w:autoSpaceDN w:val="0"/>
        <w:adjustRightInd w:val="0"/>
        <w:rPr>
          <w:color w:val="6B6B6A"/>
          <w:sz w:val="18"/>
          <w:szCs w:val="18"/>
        </w:rPr>
      </w:pPr>
      <w:r>
        <w:rPr>
          <w:color w:val="6B6B6A"/>
          <w:sz w:val="18"/>
          <w:szCs w:val="18"/>
        </w:rPr>
        <w:t>Chapter 9. Settlement of Mass Tort Litigation</w:t>
      </w:r>
    </w:p>
    <w:p w14:paraId="1A4EF71C" w14:textId="77777777" w:rsidR="000E5BB0" w:rsidRDefault="009A3D18">
      <w:pPr>
        <w:widowControl w:val="0"/>
        <w:autoSpaceDE w:val="0"/>
        <w:autoSpaceDN w:val="0"/>
        <w:adjustRightInd w:val="0"/>
        <w:rPr>
          <w:color w:val="6B6B6A"/>
          <w:sz w:val="18"/>
          <w:szCs w:val="18"/>
        </w:rPr>
      </w:pPr>
      <w:r>
        <w:rPr>
          <w:color w:val="6B6B6A"/>
          <w:sz w:val="18"/>
          <w:szCs w:val="18"/>
        </w:rPr>
        <w:t>IV. Case Histories of Use of Matrix and Category</w:t>
      </w:r>
    </w:p>
    <w:p w14:paraId="626AB46D" w14:textId="77777777" w:rsidR="000E5BB0" w:rsidRDefault="009A3D18">
      <w:pPr>
        <w:widowControl w:val="0"/>
        <w:autoSpaceDE w:val="0"/>
        <w:autoSpaceDN w:val="0"/>
        <w:adjustRightInd w:val="0"/>
        <w:spacing w:after="182"/>
        <w:rPr>
          <w:color w:val="6B6B6A"/>
          <w:sz w:val="18"/>
          <w:szCs w:val="18"/>
        </w:rPr>
      </w:pPr>
      <w:r>
        <w:rPr>
          <w:color w:val="6B6B6A"/>
          <w:sz w:val="18"/>
          <w:szCs w:val="18"/>
        </w:rPr>
        <w:t>D. Arising Out of a Fund, from Which Payments Were Made in Individual Cases</w:t>
      </w:r>
    </w:p>
    <w:p w14:paraId="3298AFD6" w14:textId="77777777" w:rsidR="000E5BB0" w:rsidRDefault="009A3D18">
      <w:pPr>
        <w:widowControl w:val="0"/>
        <w:autoSpaceDE w:val="0"/>
        <w:autoSpaceDN w:val="0"/>
        <w:adjustRightInd w:val="0"/>
        <w:spacing w:before="760" w:after="500"/>
        <w:jc w:val="center"/>
        <w:rPr>
          <w:color w:val="252525"/>
        </w:rPr>
      </w:pPr>
      <w:r>
        <w:rPr>
          <w:color w:val="252525"/>
        </w:rPr>
        <w:t xml:space="preserve">§ 9:39.80. </w:t>
      </w:r>
      <w:proofErr w:type="spellStart"/>
      <w:r>
        <w:rPr>
          <w:color w:val="252525"/>
        </w:rPr>
        <w:t>DePuy</w:t>
      </w:r>
      <w:proofErr w:type="spellEnd"/>
      <w:r>
        <w:rPr>
          <w:color w:val="252525"/>
        </w:rPr>
        <w:t xml:space="preserve"> ASR metal hips settlement</w:t>
      </w:r>
    </w:p>
    <w:p w14:paraId="269E7059" w14:textId="77777777" w:rsidR="000E5BB0" w:rsidRDefault="00312475">
      <w:pPr>
        <w:widowControl w:val="0"/>
        <w:autoSpaceDE w:val="0"/>
        <w:autoSpaceDN w:val="0"/>
        <w:adjustRightInd w:val="0"/>
        <w:jc w:val="both"/>
        <w:rPr>
          <w:color w:val="000000"/>
        </w:rPr>
      </w:pPr>
      <w:hyperlink r:id="rId10" w:history="1">
        <w:r w:rsidR="009A3D18">
          <w:rPr>
            <w:color w:val="000000"/>
          </w:rPr>
          <w:t>References</w:t>
        </w:r>
      </w:hyperlink>
    </w:p>
    <w:p w14:paraId="2748C460" w14:textId="77777777" w:rsidR="000E5BB0" w:rsidRDefault="009A3D18">
      <w:pPr>
        <w:widowControl w:val="0"/>
        <w:autoSpaceDE w:val="0"/>
        <w:autoSpaceDN w:val="0"/>
        <w:adjustRightInd w:val="0"/>
        <w:jc w:val="both"/>
        <w:rPr>
          <w:color w:val="000000"/>
        </w:rPr>
      </w:pPr>
      <w:r>
        <w:rPr>
          <w:color w:val="000000"/>
        </w:rPr>
        <w:t xml:space="preserve">In November 2013 </w:t>
      </w:r>
      <w:proofErr w:type="spellStart"/>
      <w:r>
        <w:rPr>
          <w:color w:val="000000"/>
        </w:rPr>
        <w:t>DePuy</w:t>
      </w:r>
      <w:proofErr w:type="spellEnd"/>
      <w:r>
        <w:rPr>
          <w:color w:val="000000"/>
        </w:rPr>
        <w:t xml:space="preserve"> </w:t>
      </w:r>
      <w:proofErr w:type="spellStart"/>
      <w:r>
        <w:rPr>
          <w:color w:val="000000"/>
        </w:rPr>
        <w:t>Orthopaedics</w:t>
      </w:r>
      <w:proofErr w:type="spellEnd"/>
      <w:r>
        <w:rPr>
          <w:color w:val="000000"/>
        </w:rPr>
        <w:t xml:space="preserve">, Inc., a division of Johnson &amp; Johnson, reached an agreement to settle more than 8000 suits pending against it arising out use of a particular type of metal-on-metal hips, known as ASR </w:t>
      </w:r>
      <w:proofErr w:type="spellStart"/>
      <w:r>
        <w:rPr>
          <w:color w:val="000000"/>
        </w:rPr>
        <w:t>Acetabulor</w:t>
      </w:r>
      <w:proofErr w:type="spellEnd"/>
      <w:r>
        <w:rPr>
          <w:color w:val="000000"/>
        </w:rPr>
        <w:t xml:space="preserve"> and Resurfacing Systems. Approximately $2.5 billion was put into the plan by the defendant.</w:t>
      </w:r>
    </w:p>
    <w:p w14:paraId="2DA259A3" w14:textId="77777777" w:rsidR="000E5BB0" w:rsidRDefault="009A3D18">
      <w:pPr>
        <w:widowControl w:val="0"/>
        <w:autoSpaceDE w:val="0"/>
        <w:autoSpaceDN w:val="0"/>
        <w:adjustRightInd w:val="0"/>
        <w:jc w:val="both"/>
        <w:rPr>
          <w:color w:val="000000"/>
        </w:rPr>
      </w:pPr>
      <w:r>
        <w:rPr>
          <w:color w:val="000000"/>
        </w:rPr>
        <w:t> </w:t>
      </w:r>
    </w:p>
    <w:p w14:paraId="485595FC" w14:textId="77777777" w:rsidR="000E5BB0" w:rsidRDefault="009A3D18">
      <w:pPr>
        <w:widowControl w:val="0"/>
        <w:autoSpaceDE w:val="0"/>
        <w:autoSpaceDN w:val="0"/>
        <w:adjustRightInd w:val="0"/>
        <w:jc w:val="both"/>
        <w:rPr>
          <w:color w:val="000000"/>
        </w:rPr>
      </w:pPr>
      <w:r>
        <w:rPr>
          <w:color w:val="000000"/>
        </w:rPr>
        <w:t>This plan was only for those users who had had a revision, that is removal of the prosthesis. The product had been recalled due to the development of a condition known as “</w:t>
      </w:r>
      <w:proofErr w:type="spellStart"/>
      <w:r>
        <w:rPr>
          <w:color w:val="000000"/>
        </w:rPr>
        <w:t>metallosis</w:t>
      </w:r>
      <w:proofErr w:type="spellEnd"/>
      <w:r>
        <w:rPr>
          <w:color w:val="000000"/>
        </w:rPr>
        <w:t>,” rubbing of metal on metal parts, leading to small amounts of metal being released. Often secondary infections occurred.</w:t>
      </w:r>
    </w:p>
    <w:p w14:paraId="1667C13C" w14:textId="77777777" w:rsidR="000E5BB0" w:rsidRDefault="009A3D18">
      <w:pPr>
        <w:widowControl w:val="0"/>
        <w:autoSpaceDE w:val="0"/>
        <w:autoSpaceDN w:val="0"/>
        <w:adjustRightInd w:val="0"/>
        <w:jc w:val="both"/>
        <w:rPr>
          <w:color w:val="000000"/>
        </w:rPr>
      </w:pPr>
      <w:r>
        <w:rPr>
          <w:color w:val="000000"/>
        </w:rPr>
        <w:t> </w:t>
      </w:r>
    </w:p>
    <w:p w14:paraId="256CE8B9" w14:textId="77777777" w:rsidR="000E5BB0" w:rsidRDefault="009A3D18">
      <w:pPr>
        <w:widowControl w:val="0"/>
        <w:autoSpaceDE w:val="0"/>
        <w:autoSpaceDN w:val="0"/>
        <w:adjustRightInd w:val="0"/>
        <w:jc w:val="both"/>
        <w:rPr>
          <w:color w:val="000000"/>
        </w:rPr>
      </w:pPr>
      <w:r w:rsidRPr="00B966E8">
        <w:rPr>
          <w:color w:val="000000"/>
          <w:highlight w:val="yellow"/>
        </w:rPr>
        <w:t>The actual plan is of great interest, potentially as a model for future mass settlements</w:t>
      </w:r>
      <w:r>
        <w:rPr>
          <w:color w:val="000000"/>
        </w:rPr>
        <w:t xml:space="preserve">. Cases were pending in the In re </w:t>
      </w:r>
      <w:proofErr w:type="spellStart"/>
      <w:r>
        <w:rPr>
          <w:color w:val="000000"/>
        </w:rPr>
        <w:t>DePuy</w:t>
      </w:r>
      <w:proofErr w:type="spellEnd"/>
      <w:r>
        <w:rPr>
          <w:color w:val="000000"/>
        </w:rPr>
        <w:t xml:space="preserve"> </w:t>
      </w:r>
      <w:proofErr w:type="spellStart"/>
      <w:r>
        <w:rPr>
          <w:color w:val="000000"/>
        </w:rPr>
        <w:t>Orthopaedics</w:t>
      </w:r>
      <w:proofErr w:type="spellEnd"/>
      <w:r>
        <w:rPr>
          <w:color w:val="000000"/>
        </w:rPr>
        <w:t xml:space="preserve">, Inc., ASR Hip Implant Products Litigation, MDL 2197, and in various state courts. The settlement was approved by the judge supervising the MDL for the ASR litigation, David A. Katz, </w:t>
      </w:r>
      <w:proofErr w:type="spellStart"/>
      <w:r>
        <w:rPr>
          <w:color w:val="000000"/>
        </w:rPr>
        <w:t>N.D.Oh</w:t>
      </w:r>
      <w:proofErr w:type="spellEnd"/>
      <w:r>
        <w:rPr>
          <w:color w:val="000000"/>
        </w:rPr>
        <w:t>. MDL no. 2197.</w:t>
      </w:r>
    </w:p>
    <w:p w14:paraId="5E28D773" w14:textId="77777777" w:rsidR="000E5BB0" w:rsidRDefault="009A3D18">
      <w:pPr>
        <w:widowControl w:val="0"/>
        <w:autoSpaceDE w:val="0"/>
        <w:autoSpaceDN w:val="0"/>
        <w:adjustRightInd w:val="0"/>
        <w:jc w:val="both"/>
        <w:rPr>
          <w:color w:val="000000"/>
        </w:rPr>
      </w:pPr>
      <w:r>
        <w:rPr>
          <w:color w:val="000000"/>
        </w:rPr>
        <w:t> </w:t>
      </w:r>
    </w:p>
    <w:p w14:paraId="5FDE333D" w14:textId="77777777" w:rsidR="000E5BB0" w:rsidRDefault="009A3D18">
      <w:pPr>
        <w:widowControl w:val="0"/>
        <w:autoSpaceDE w:val="0"/>
        <w:autoSpaceDN w:val="0"/>
        <w:adjustRightInd w:val="0"/>
        <w:jc w:val="both"/>
        <w:rPr>
          <w:color w:val="000000"/>
        </w:rPr>
      </w:pPr>
      <w:r>
        <w:rPr>
          <w:color w:val="000000"/>
        </w:rPr>
        <w:t xml:space="preserve">This is a private plan entered into between the defendant and a team of plaintiff firms, mostly the ones on the steering committee for this MDL. It expressly has avoided judicial approval or oversight (similar to the </w:t>
      </w:r>
      <w:proofErr w:type="spellStart"/>
      <w:r>
        <w:rPr>
          <w:color w:val="000000"/>
        </w:rPr>
        <w:t>Vioxx</w:t>
      </w:r>
      <w:proofErr w:type="spellEnd"/>
      <w:r>
        <w:rPr>
          <w:color w:val="000000"/>
        </w:rPr>
        <w:t xml:space="preserve"> plan, </w:t>
      </w:r>
      <w:hyperlink r:id="rId11" w:history="1">
        <w:r>
          <w:rPr>
            <w:color w:val="000000"/>
          </w:rPr>
          <w:t>§ 9:39.50</w:t>
        </w:r>
      </w:hyperlink>
      <w:r>
        <w:rPr>
          <w:color w:val="000000"/>
        </w:rPr>
        <w:t>). A plaintiff had to opt into the plan (by enrollment). If the plaintiff did not, the lawsuit is carried on. And people without revisions or later revisions were not covered by this particular plan.</w:t>
      </w:r>
    </w:p>
    <w:p w14:paraId="6A608A8B" w14:textId="77777777" w:rsidR="000E5BB0" w:rsidRDefault="009A3D18">
      <w:pPr>
        <w:widowControl w:val="0"/>
        <w:autoSpaceDE w:val="0"/>
        <w:autoSpaceDN w:val="0"/>
        <w:adjustRightInd w:val="0"/>
        <w:jc w:val="both"/>
        <w:rPr>
          <w:color w:val="000000"/>
        </w:rPr>
      </w:pPr>
      <w:r>
        <w:rPr>
          <w:color w:val="000000"/>
        </w:rPr>
        <w:t> </w:t>
      </w:r>
    </w:p>
    <w:p w14:paraId="14AFD91B" w14:textId="77777777" w:rsidR="000E5BB0" w:rsidRDefault="009A3D18">
      <w:pPr>
        <w:widowControl w:val="0"/>
        <w:autoSpaceDE w:val="0"/>
        <w:autoSpaceDN w:val="0"/>
        <w:adjustRightInd w:val="0"/>
        <w:jc w:val="both"/>
        <w:rPr>
          <w:color w:val="000000"/>
        </w:rPr>
      </w:pPr>
      <w:r>
        <w:rPr>
          <w:color w:val="000000"/>
        </w:rPr>
        <w:t>As has become common in mass settlements, there was a “walkaway” clause which allows the defendant to not effectuate the plan if 94% of the potential claimants did not opt into it. Of course, the defendant need not exercise this option, and can operate it with a lesser number.</w:t>
      </w:r>
    </w:p>
    <w:p w14:paraId="392895C9" w14:textId="77777777" w:rsidR="000E5BB0" w:rsidRDefault="009A3D18">
      <w:pPr>
        <w:widowControl w:val="0"/>
        <w:autoSpaceDE w:val="0"/>
        <w:autoSpaceDN w:val="0"/>
        <w:adjustRightInd w:val="0"/>
        <w:jc w:val="both"/>
        <w:rPr>
          <w:color w:val="000000"/>
        </w:rPr>
      </w:pPr>
      <w:r>
        <w:rPr>
          <w:color w:val="000000"/>
        </w:rPr>
        <w:t> </w:t>
      </w:r>
    </w:p>
    <w:p w14:paraId="6507039A" w14:textId="77777777" w:rsidR="000E5BB0" w:rsidRDefault="009A3D18">
      <w:pPr>
        <w:widowControl w:val="0"/>
        <w:autoSpaceDE w:val="0"/>
        <w:autoSpaceDN w:val="0"/>
        <w:adjustRightInd w:val="0"/>
        <w:jc w:val="both"/>
        <w:rPr>
          <w:color w:val="000000"/>
        </w:rPr>
      </w:pPr>
      <w:r>
        <w:rPr>
          <w:color w:val="000000"/>
        </w:rPr>
        <w:t xml:space="preserve">There were two parts to the plan: Part A: for persons with removal but not extra injuries; and Part B: for those who had extraordinary injuries, mainly related to the removal and replacement surgery. This is similar to the other device settlement plans, </w:t>
      </w:r>
      <w:r w:rsidRPr="00312475">
        <w:rPr>
          <w:color w:val="000000"/>
          <w:highlight w:val="yellow"/>
        </w:rPr>
        <w:t>such as in Sulzer hip implants</w:t>
      </w:r>
      <w:bookmarkStart w:id="3" w:name="_GoBack"/>
      <w:bookmarkEnd w:id="3"/>
      <w:r>
        <w:rPr>
          <w:color w:val="000000"/>
        </w:rPr>
        <w:t xml:space="preserve"> (</w:t>
      </w:r>
      <w:hyperlink r:id="rId12" w:history="1">
        <w:r>
          <w:rPr>
            <w:color w:val="000000"/>
          </w:rPr>
          <w:t>§ 9:20</w:t>
        </w:r>
      </w:hyperlink>
      <w:r>
        <w:rPr>
          <w:color w:val="000000"/>
        </w:rPr>
        <w:t>).</w:t>
      </w:r>
    </w:p>
    <w:p w14:paraId="59222501" w14:textId="77777777" w:rsidR="000E5BB0" w:rsidRDefault="009A3D18">
      <w:pPr>
        <w:widowControl w:val="0"/>
        <w:autoSpaceDE w:val="0"/>
        <w:autoSpaceDN w:val="0"/>
        <w:adjustRightInd w:val="0"/>
        <w:jc w:val="both"/>
        <w:rPr>
          <w:color w:val="000000"/>
        </w:rPr>
      </w:pPr>
      <w:r>
        <w:rPr>
          <w:color w:val="000000"/>
        </w:rPr>
        <w:t> </w:t>
      </w:r>
    </w:p>
    <w:p w14:paraId="0DF26D16" w14:textId="77777777" w:rsidR="000E5BB0" w:rsidRDefault="009A3D18">
      <w:pPr>
        <w:widowControl w:val="0"/>
        <w:autoSpaceDE w:val="0"/>
        <w:autoSpaceDN w:val="0"/>
        <w:adjustRightInd w:val="0"/>
        <w:jc w:val="both"/>
        <w:rPr>
          <w:color w:val="000000"/>
        </w:rPr>
      </w:pPr>
      <w:r>
        <w:rPr>
          <w:color w:val="000000"/>
        </w:rPr>
        <w:t>Part A: created a base sum, from which there are a large number of reductions (in that sense, it is not a “base” but a top). This is $250,000. Factors that reduce the sum included:</w:t>
      </w:r>
    </w:p>
    <w:p w14:paraId="284F90AD" w14:textId="77777777" w:rsidR="000E5BB0" w:rsidRDefault="009A3D18">
      <w:pPr>
        <w:widowControl w:val="0"/>
        <w:numPr>
          <w:ilvl w:val="0"/>
          <w:numId w:val="1"/>
        </w:numPr>
        <w:autoSpaceDE w:val="0"/>
        <w:autoSpaceDN w:val="0"/>
        <w:adjustRightInd w:val="0"/>
        <w:ind w:left="500" w:hanging="360"/>
        <w:jc w:val="both"/>
        <w:rPr>
          <w:color w:val="000000"/>
        </w:rPr>
      </w:pPr>
      <w:r>
        <w:rPr>
          <w:color w:val="000000"/>
        </w:rPr>
        <w:t>— age: 70 and over: reducing the sum 4–15%</w:t>
      </w:r>
    </w:p>
    <w:p w14:paraId="0F6E12B8" w14:textId="77777777" w:rsidR="000E5BB0" w:rsidRDefault="009A3D18">
      <w:pPr>
        <w:widowControl w:val="0"/>
        <w:numPr>
          <w:ilvl w:val="0"/>
          <w:numId w:val="2"/>
        </w:numPr>
        <w:autoSpaceDE w:val="0"/>
        <w:autoSpaceDN w:val="0"/>
        <w:adjustRightInd w:val="0"/>
        <w:ind w:left="500" w:hanging="360"/>
        <w:jc w:val="both"/>
        <w:rPr>
          <w:color w:val="000000"/>
        </w:rPr>
      </w:pPr>
      <w:r>
        <w:rPr>
          <w:color w:val="000000"/>
        </w:rPr>
        <w:t>— body weight: obesity reducing the sum 10–20%</w:t>
      </w:r>
    </w:p>
    <w:p w14:paraId="0CD0D678" w14:textId="77777777" w:rsidR="000E5BB0" w:rsidRDefault="009A3D18">
      <w:pPr>
        <w:widowControl w:val="0"/>
        <w:numPr>
          <w:ilvl w:val="0"/>
          <w:numId w:val="3"/>
        </w:numPr>
        <w:autoSpaceDE w:val="0"/>
        <w:autoSpaceDN w:val="0"/>
        <w:adjustRightInd w:val="0"/>
        <w:ind w:left="500" w:hanging="360"/>
        <w:jc w:val="both"/>
        <w:rPr>
          <w:color w:val="000000"/>
        </w:rPr>
      </w:pPr>
      <w:r>
        <w:rPr>
          <w:color w:val="000000"/>
        </w:rPr>
        <w:t>— smoking: 5%</w:t>
      </w:r>
    </w:p>
    <w:p w14:paraId="42C060DB" w14:textId="77777777" w:rsidR="000E5BB0" w:rsidRDefault="009A3D18">
      <w:pPr>
        <w:widowControl w:val="0"/>
        <w:numPr>
          <w:ilvl w:val="0"/>
          <w:numId w:val="4"/>
        </w:numPr>
        <w:autoSpaceDE w:val="0"/>
        <w:autoSpaceDN w:val="0"/>
        <w:adjustRightInd w:val="0"/>
        <w:ind w:left="500" w:hanging="360"/>
        <w:jc w:val="both"/>
        <w:rPr>
          <w:color w:val="000000"/>
        </w:rPr>
      </w:pPr>
      <w:r>
        <w:rPr>
          <w:color w:val="000000"/>
        </w:rPr>
        <w:t>— length of time in before removed: the longer the time, the greater the reduction: this could bring the claimant down to $150,000</w:t>
      </w:r>
    </w:p>
    <w:p w14:paraId="6950924A" w14:textId="77777777" w:rsidR="000E5BB0" w:rsidRDefault="009A3D18">
      <w:pPr>
        <w:widowControl w:val="0"/>
        <w:numPr>
          <w:ilvl w:val="0"/>
          <w:numId w:val="5"/>
        </w:numPr>
        <w:autoSpaceDE w:val="0"/>
        <w:autoSpaceDN w:val="0"/>
        <w:adjustRightInd w:val="0"/>
        <w:ind w:left="500" w:hanging="360"/>
        <w:jc w:val="both"/>
        <w:rPr>
          <w:color w:val="000000"/>
        </w:rPr>
      </w:pPr>
      <w:r>
        <w:rPr>
          <w:color w:val="000000"/>
        </w:rPr>
        <w:t>— death within five years revision but not due to it: 25%.</w:t>
      </w:r>
    </w:p>
    <w:p w14:paraId="53090DD4" w14:textId="77777777" w:rsidR="000E5BB0" w:rsidRDefault="009A3D18">
      <w:pPr>
        <w:widowControl w:val="0"/>
        <w:autoSpaceDE w:val="0"/>
        <w:autoSpaceDN w:val="0"/>
        <w:adjustRightInd w:val="0"/>
        <w:jc w:val="both"/>
        <w:rPr>
          <w:color w:val="000000"/>
        </w:rPr>
      </w:pPr>
      <w:r>
        <w:rPr>
          <w:color w:val="000000"/>
        </w:rPr>
        <w:t> </w:t>
      </w:r>
    </w:p>
    <w:p w14:paraId="1D645BE7" w14:textId="77777777" w:rsidR="000E5BB0" w:rsidRDefault="009A3D18">
      <w:pPr>
        <w:widowControl w:val="0"/>
        <w:autoSpaceDE w:val="0"/>
        <w:autoSpaceDN w:val="0"/>
        <w:adjustRightInd w:val="0"/>
        <w:jc w:val="both"/>
        <w:rPr>
          <w:color w:val="000000"/>
        </w:rPr>
      </w:pPr>
      <w:r>
        <w:rPr>
          <w:color w:val="000000"/>
        </w:rPr>
        <w:lastRenderedPageBreak/>
        <w:t>There was no capped sum for Plan A payments. While it was estimated that there would be some 8000 qualified cases, whatever the number was, Johnson and Johnson was to pay them all.</w:t>
      </w:r>
    </w:p>
    <w:p w14:paraId="2E267740" w14:textId="77777777" w:rsidR="000E5BB0" w:rsidRDefault="009A3D18">
      <w:pPr>
        <w:widowControl w:val="0"/>
        <w:autoSpaceDE w:val="0"/>
        <w:autoSpaceDN w:val="0"/>
        <w:adjustRightInd w:val="0"/>
        <w:jc w:val="both"/>
        <w:rPr>
          <w:color w:val="000000"/>
        </w:rPr>
      </w:pPr>
      <w:r>
        <w:rPr>
          <w:color w:val="000000"/>
        </w:rPr>
        <w:t> </w:t>
      </w:r>
    </w:p>
    <w:p w14:paraId="14B98CEC" w14:textId="77777777" w:rsidR="000E5BB0" w:rsidRDefault="009A3D18">
      <w:pPr>
        <w:widowControl w:val="0"/>
        <w:autoSpaceDE w:val="0"/>
        <w:autoSpaceDN w:val="0"/>
        <w:adjustRightInd w:val="0"/>
        <w:jc w:val="both"/>
        <w:rPr>
          <w:color w:val="000000"/>
        </w:rPr>
      </w:pPr>
      <w:r>
        <w:rPr>
          <w:color w:val="000000"/>
        </w:rPr>
        <w:t xml:space="preserve">Part B paid a sum in addition to the “base” sum, if various types of serious complications occurred as a consequence of the revision surgery. (Details of the Part B plan are set forth in </w:t>
      </w:r>
      <w:hyperlink r:id="rId13" w:history="1">
        <w:r>
          <w:rPr>
            <w:color w:val="000000"/>
          </w:rPr>
          <w:t>§ 17:29</w:t>
        </w:r>
      </w:hyperlink>
      <w:r>
        <w:rPr>
          <w:color w:val="000000"/>
        </w:rPr>
        <w:t xml:space="preserve">.) This was funded by a set amount of money from the defendant, and was to be managed by the </w:t>
      </w:r>
      <w:proofErr w:type="gramStart"/>
      <w:r>
        <w:rPr>
          <w:color w:val="000000"/>
        </w:rPr>
        <w:t>plaintiffs</w:t>
      </w:r>
      <w:proofErr w:type="gramEnd"/>
      <w:r>
        <w:rPr>
          <w:color w:val="000000"/>
        </w:rPr>
        <w:t xml:space="preserve"> lawyers. The amount was $485 million.</w:t>
      </w:r>
    </w:p>
    <w:p w14:paraId="2D5FF5D4" w14:textId="77777777" w:rsidR="000E5BB0" w:rsidRDefault="009A3D18">
      <w:pPr>
        <w:widowControl w:val="0"/>
        <w:autoSpaceDE w:val="0"/>
        <w:autoSpaceDN w:val="0"/>
        <w:adjustRightInd w:val="0"/>
        <w:jc w:val="both"/>
        <w:rPr>
          <w:color w:val="000000"/>
        </w:rPr>
      </w:pPr>
      <w:r>
        <w:rPr>
          <w:color w:val="000000"/>
        </w:rPr>
        <w:t> </w:t>
      </w:r>
    </w:p>
    <w:p w14:paraId="5566936A" w14:textId="77777777" w:rsidR="000E5BB0" w:rsidRDefault="009A3D18">
      <w:pPr>
        <w:widowControl w:val="0"/>
        <w:autoSpaceDE w:val="0"/>
        <w:autoSpaceDN w:val="0"/>
        <w:adjustRightInd w:val="0"/>
        <w:jc w:val="both"/>
        <w:rPr>
          <w:color w:val="000000"/>
        </w:rPr>
      </w:pPr>
      <w:r>
        <w:rPr>
          <w:color w:val="000000"/>
        </w:rPr>
        <w:t>Events which constituted the extraordinary event (each minutely defined), included:</w:t>
      </w:r>
    </w:p>
    <w:p w14:paraId="5B323BB2" w14:textId="77777777" w:rsidR="000E5BB0" w:rsidRDefault="009A3D18">
      <w:pPr>
        <w:widowControl w:val="0"/>
        <w:numPr>
          <w:ilvl w:val="0"/>
          <w:numId w:val="6"/>
        </w:numPr>
        <w:autoSpaceDE w:val="0"/>
        <w:autoSpaceDN w:val="0"/>
        <w:adjustRightInd w:val="0"/>
        <w:ind w:left="500" w:hanging="360"/>
        <w:jc w:val="both"/>
        <w:rPr>
          <w:color w:val="000000"/>
        </w:rPr>
      </w:pPr>
      <w:r>
        <w:rPr>
          <w:color w:val="000000"/>
        </w:rPr>
        <w:t>— blot clot (pulmonary embolism or deep vein thrombosis)</w:t>
      </w:r>
    </w:p>
    <w:p w14:paraId="312914F9" w14:textId="77777777" w:rsidR="000E5BB0" w:rsidRDefault="009A3D18">
      <w:pPr>
        <w:widowControl w:val="0"/>
        <w:numPr>
          <w:ilvl w:val="0"/>
          <w:numId w:val="7"/>
        </w:numPr>
        <w:autoSpaceDE w:val="0"/>
        <w:autoSpaceDN w:val="0"/>
        <w:adjustRightInd w:val="0"/>
        <w:ind w:left="500" w:hanging="360"/>
        <w:jc w:val="both"/>
        <w:rPr>
          <w:color w:val="000000"/>
        </w:rPr>
      </w:pPr>
      <w:r>
        <w:rPr>
          <w:color w:val="000000"/>
        </w:rPr>
        <w:t>— infection</w:t>
      </w:r>
    </w:p>
    <w:p w14:paraId="10167139" w14:textId="77777777" w:rsidR="000E5BB0" w:rsidRDefault="009A3D18">
      <w:pPr>
        <w:widowControl w:val="0"/>
        <w:numPr>
          <w:ilvl w:val="0"/>
          <w:numId w:val="8"/>
        </w:numPr>
        <w:autoSpaceDE w:val="0"/>
        <w:autoSpaceDN w:val="0"/>
        <w:adjustRightInd w:val="0"/>
        <w:ind w:left="500" w:hanging="360"/>
        <w:jc w:val="both"/>
        <w:rPr>
          <w:color w:val="000000"/>
        </w:rPr>
      </w:pPr>
      <w:r>
        <w:rPr>
          <w:color w:val="000000"/>
        </w:rPr>
        <w:t>— foot drop</w:t>
      </w:r>
    </w:p>
    <w:p w14:paraId="4802463D" w14:textId="77777777" w:rsidR="000E5BB0" w:rsidRDefault="009A3D18">
      <w:pPr>
        <w:widowControl w:val="0"/>
        <w:numPr>
          <w:ilvl w:val="0"/>
          <w:numId w:val="9"/>
        </w:numPr>
        <w:autoSpaceDE w:val="0"/>
        <w:autoSpaceDN w:val="0"/>
        <w:adjustRightInd w:val="0"/>
        <w:ind w:left="500" w:hanging="360"/>
        <w:jc w:val="both"/>
        <w:rPr>
          <w:color w:val="000000"/>
        </w:rPr>
      </w:pPr>
      <w:r>
        <w:rPr>
          <w:color w:val="000000"/>
        </w:rPr>
        <w:t>— stroke or heart attack</w:t>
      </w:r>
    </w:p>
    <w:p w14:paraId="1A4D6449" w14:textId="77777777" w:rsidR="000E5BB0" w:rsidRDefault="009A3D18">
      <w:pPr>
        <w:widowControl w:val="0"/>
        <w:numPr>
          <w:ilvl w:val="0"/>
          <w:numId w:val="10"/>
        </w:numPr>
        <w:autoSpaceDE w:val="0"/>
        <w:autoSpaceDN w:val="0"/>
        <w:adjustRightInd w:val="0"/>
        <w:ind w:left="500" w:hanging="360"/>
        <w:jc w:val="both"/>
        <w:rPr>
          <w:color w:val="000000"/>
        </w:rPr>
      </w:pPr>
      <w:r>
        <w:rPr>
          <w:color w:val="000000"/>
        </w:rPr>
        <w:t>— death</w:t>
      </w:r>
    </w:p>
    <w:p w14:paraId="260CFAFF" w14:textId="77777777" w:rsidR="000E5BB0" w:rsidRDefault="009A3D18">
      <w:pPr>
        <w:widowControl w:val="0"/>
        <w:numPr>
          <w:ilvl w:val="0"/>
          <w:numId w:val="11"/>
        </w:numPr>
        <w:autoSpaceDE w:val="0"/>
        <w:autoSpaceDN w:val="0"/>
        <w:adjustRightInd w:val="0"/>
        <w:ind w:left="500" w:hanging="360"/>
        <w:jc w:val="both"/>
        <w:rPr>
          <w:color w:val="000000"/>
        </w:rPr>
      </w:pPr>
      <w:r>
        <w:rPr>
          <w:color w:val="000000"/>
        </w:rPr>
        <w:t>— a re-revision (that is, the replaced hip prosthesis had to be revised once again).</w:t>
      </w:r>
    </w:p>
    <w:p w14:paraId="5B05BE22" w14:textId="77777777" w:rsidR="000E5BB0" w:rsidRDefault="009A3D18">
      <w:pPr>
        <w:widowControl w:val="0"/>
        <w:autoSpaceDE w:val="0"/>
        <w:autoSpaceDN w:val="0"/>
        <w:adjustRightInd w:val="0"/>
        <w:jc w:val="both"/>
        <w:rPr>
          <w:color w:val="000000"/>
        </w:rPr>
      </w:pPr>
      <w:r>
        <w:rPr>
          <w:color w:val="000000"/>
        </w:rPr>
        <w:t> </w:t>
      </w:r>
    </w:p>
    <w:p w14:paraId="065C12B8" w14:textId="77777777" w:rsidR="000E5BB0" w:rsidRDefault="009A3D18">
      <w:pPr>
        <w:widowControl w:val="0"/>
        <w:autoSpaceDE w:val="0"/>
        <w:autoSpaceDN w:val="0"/>
        <w:adjustRightInd w:val="0"/>
        <w:jc w:val="both"/>
        <w:rPr>
          <w:color w:val="000000"/>
        </w:rPr>
      </w:pPr>
      <w:r>
        <w:rPr>
          <w:color w:val="000000"/>
        </w:rPr>
        <w:t>Plan B also provided additional payments for the not uncommon occurrence that a claimant had revisions of both hips. Generally, for the second hip $250,000 would be paid. If Plan B was involved, spouses who were making loss of consortium claims received $1500.</w:t>
      </w:r>
    </w:p>
    <w:p w14:paraId="1546D3B2" w14:textId="77777777" w:rsidR="000E5BB0" w:rsidRDefault="009A3D18">
      <w:pPr>
        <w:widowControl w:val="0"/>
        <w:autoSpaceDE w:val="0"/>
        <w:autoSpaceDN w:val="0"/>
        <w:adjustRightInd w:val="0"/>
        <w:jc w:val="both"/>
        <w:rPr>
          <w:color w:val="000000"/>
        </w:rPr>
      </w:pPr>
      <w:r>
        <w:rPr>
          <w:color w:val="000000"/>
        </w:rPr>
        <w:t> </w:t>
      </w:r>
    </w:p>
    <w:p w14:paraId="593405A4" w14:textId="77777777" w:rsidR="000E5BB0" w:rsidRDefault="009A3D18">
      <w:pPr>
        <w:widowControl w:val="0"/>
        <w:autoSpaceDE w:val="0"/>
        <w:autoSpaceDN w:val="0"/>
        <w:adjustRightInd w:val="0"/>
        <w:jc w:val="both"/>
        <w:rPr>
          <w:color w:val="000000"/>
        </w:rPr>
      </w:pPr>
      <w:r>
        <w:rPr>
          <w:color w:val="000000"/>
        </w:rPr>
        <w:t xml:space="preserve">The plan offered </w:t>
      </w:r>
      <w:r w:rsidRPr="00B966E8">
        <w:rPr>
          <w:color w:val="000000"/>
          <w:highlight w:val="yellow"/>
        </w:rPr>
        <w:t>as a major inducement to participate an agreement by the defendant to be responsible for most liens which existed for covering medical expenses in the revision</w:t>
      </w:r>
      <w:r>
        <w:rPr>
          <w:color w:val="000000"/>
        </w:rPr>
        <w:t>. This removed uncertainties about how much a claimant would actually net, and could become a model for future settlement plans.</w:t>
      </w:r>
    </w:p>
    <w:p w14:paraId="3BC94456" w14:textId="77777777" w:rsidR="000E5BB0" w:rsidRDefault="009A3D18">
      <w:pPr>
        <w:widowControl w:val="0"/>
        <w:autoSpaceDE w:val="0"/>
        <w:autoSpaceDN w:val="0"/>
        <w:adjustRightInd w:val="0"/>
        <w:jc w:val="both"/>
        <w:rPr>
          <w:color w:val="000000"/>
        </w:rPr>
      </w:pPr>
      <w:r>
        <w:rPr>
          <w:color w:val="000000"/>
        </w:rPr>
        <w:t> </w:t>
      </w:r>
    </w:p>
    <w:p w14:paraId="334F7654" w14:textId="77777777" w:rsidR="000E5BB0" w:rsidRDefault="009A3D18">
      <w:pPr>
        <w:widowControl w:val="0"/>
        <w:autoSpaceDE w:val="0"/>
        <w:autoSpaceDN w:val="0"/>
        <w:adjustRightInd w:val="0"/>
        <w:jc w:val="both"/>
        <w:rPr>
          <w:color w:val="000000"/>
        </w:rPr>
      </w:pPr>
      <w:r>
        <w:rPr>
          <w:color w:val="000000"/>
        </w:rPr>
        <w:t xml:space="preserve">The administration of the complex plan, since it was not court supervised, was established in various layers. The management of claims was assigned to Brown-Greer, a company which had performed similar functions in previous mass settlements. </w:t>
      </w:r>
      <w:r w:rsidRPr="00B966E8">
        <w:rPr>
          <w:color w:val="000000"/>
          <w:highlight w:val="yellow"/>
        </w:rPr>
        <w:t>Special masters were set up to handle “appeals” from decisions as to whether one qualified for Part B payments or not</w:t>
      </w:r>
      <w:r>
        <w:rPr>
          <w:color w:val="000000"/>
        </w:rPr>
        <w:t>.</w:t>
      </w:r>
    </w:p>
    <w:p w14:paraId="0A7B3B40" w14:textId="77777777" w:rsidR="000E5BB0" w:rsidRDefault="009A3D18">
      <w:pPr>
        <w:widowControl w:val="0"/>
        <w:autoSpaceDE w:val="0"/>
        <w:autoSpaceDN w:val="0"/>
        <w:adjustRightInd w:val="0"/>
        <w:jc w:val="both"/>
        <w:rPr>
          <w:color w:val="000000"/>
        </w:rPr>
      </w:pPr>
      <w:r>
        <w:rPr>
          <w:color w:val="000000"/>
        </w:rPr>
        <w:t> </w:t>
      </w:r>
    </w:p>
    <w:p w14:paraId="349CCBB6" w14:textId="77777777" w:rsidR="000E5BB0" w:rsidRDefault="009A3D18">
      <w:pPr>
        <w:widowControl w:val="0"/>
        <w:autoSpaceDE w:val="0"/>
        <w:autoSpaceDN w:val="0"/>
        <w:adjustRightInd w:val="0"/>
        <w:jc w:val="both"/>
        <w:rPr>
          <w:color w:val="000000"/>
        </w:rPr>
      </w:pPr>
      <w:r>
        <w:rPr>
          <w:color w:val="000000"/>
        </w:rPr>
        <w:t xml:space="preserve">Fortunately, the plan did not contain the questionably unethical requirement of “all or nothing” settlement of a firm’s inventory. A firm could have some clients participate in the plan and others not. </w:t>
      </w:r>
      <w:r w:rsidRPr="00B966E8">
        <w:rPr>
          <w:color w:val="000000"/>
          <w:highlight w:val="yellow"/>
        </w:rPr>
        <w:t>The plan has a detailed section protecting attorneys’ fees, as in the event of a client who discharged counsel</w:t>
      </w:r>
      <w:r>
        <w:rPr>
          <w:color w:val="000000"/>
        </w:rPr>
        <w:t>. Official information on the plan is at http://www.usasrhipsettlement.com.</w:t>
      </w:r>
    </w:p>
    <w:p w14:paraId="7E3FC733" w14:textId="77777777" w:rsidR="000E5BB0" w:rsidRDefault="009A3D18">
      <w:pPr>
        <w:widowControl w:val="0"/>
        <w:autoSpaceDE w:val="0"/>
        <w:autoSpaceDN w:val="0"/>
        <w:adjustRightInd w:val="0"/>
        <w:jc w:val="both"/>
        <w:rPr>
          <w:color w:val="000000"/>
        </w:rPr>
      </w:pPr>
      <w:r>
        <w:rPr>
          <w:color w:val="000000"/>
        </w:rPr>
        <w:t> </w:t>
      </w:r>
    </w:p>
    <w:p w14:paraId="6FC9F7AB" w14:textId="77777777" w:rsidR="000E5BB0" w:rsidRDefault="009A3D18">
      <w:pPr>
        <w:widowControl w:val="0"/>
        <w:autoSpaceDE w:val="0"/>
        <w:autoSpaceDN w:val="0"/>
        <w:adjustRightInd w:val="0"/>
        <w:jc w:val="both"/>
        <w:rPr>
          <w:color w:val="000000"/>
        </w:rPr>
      </w:pPr>
      <w:r>
        <w:rPr>
          <w:color w:val="000000"/>
        </w:rPr>
        <w:t>If one did not opt into the plan, the person could continue to litigate. In such instances, only time would tell which was the better deal.</w:t>
      </w:r>
    </w:p>
    <w:p w14:paraId="322F5CF9" w14:textId="77777777" w:rsidR="000E5BB0" w:rsidRDefault="009A3D18">
      <w:pPr>
        <w:widowControl w:val="0"/>
        <w:autoSpaceDE w:val="0"/>
        <w:autoSpaceDN w:val="0"/>
        <w:adjustRightInd w:val="0"/>
        <w:jc w:val="both"/>
        <w:rPr>
          <w:color w:val="000000"/>
        </w:rPr>
      </w:pPr>
      <w:r>
        <w:rPr>
          <w:color w:val="000000"/>
        </w:rPr>
        <w:t> </w:t>
      </w:r>
    </w:p>
    <w:p w14:paraId="5E0E8E0D" w14:textId="77777777" w:rsidR="000E5BB0" w:rsidRDefault="009A3D18">
      <w:pPr>
        <w:widowControl w:val="0"/>
        <w:autoSpaceDE w:val="0"/>
        <w:autoSpaceDN w:val="0"/>
        <w:adjustRightInd w:val="0"/>
        <w:jc w:val="both"/>
        <w:rPr>
          <w:color w:val="000000"/>
        </w:rPr>
      </w:pPr>
      <w:r>
        <w:rPr>
          <w:color w:val="000000"/>
        </w:rPr>
        <w:t>The plan under review applied only to those who had had a revision before a set date. For persons who have a revision thereafter, obviously some additional provisions will have to be made. The plan also had no provisions for persons who still had the ASR prosthesis in, even if they were having problems which could well lead to the removal of the device.</w:t>
      </w:r>
    </w:p>
    <w:p w14:paraId="6F6C8181" w14:textId="77777777" w:rsidR="000E5BB0" w:rsidRDefault="009A3D18">
      <w:pPr>
        <w:widowControl w:val="0"/>
        <w:autoSpaceDE w:val="0"/>
        <w:autoSpaceDN w:val="0"/>
        <w:adjustRightInd w:val="0"/>
        <w:jc w:val="both"/>
        <w:rPr>
          <w:color w:val="000000"/>
        </w:rPr>
      </w:pPr>
      <w:r>
        <w:rPr>
          <w:color w:val="000000"/>
        </w:rPr>
        <w:t> </w:t>
      </w:r>
    </w:p>
    <w:tbl>
      <w:tblPr>
        <w:tblW w:w="0" w:type="auto"/>
        <w:tblLayout w:type="fixed"/>
        <w:tblCellMar>
          <w:left w:w="0" w:type="dxa"/>
          <w:right w:w="0" w:type="dxa"/>
        </w:tblCellMar>
        <w:tblLook w:val="0000" w:firstRow="0" w:lastRow="0" w:firstColumn="0" w:lastColumn="0" w:noHBand="0" w:noVBand="0"/>
      </w:tblPr>
      <w:tblGrid>
        <w:gridCol w:w="600"/>
        <w:gridCol w:w="9480"/>
      </w:tblGrid>
      <w:tr w:rsidR="000E5BB0" w14:paraId="296B5F6A" w14:textId="77777777">
        <w:tc>
          <w:tcPr>
            <w:tcW w:w="600" w:type="dxa"/>
            <w:tcBorders>
              <w:top w:val="nil"/>
              <w:left w:val="nil"/>
              <w:bottom w:val="nil"/>
              <w:right w:val="nil"/>
            </w:tcBorders>
          </w:tcPr>
          <w:bookmarkStart w:id="4" w:name="co_footnote_I84aeb3a004df11e8a3fdc0d07a5"/>
          <w:bookmarkEnd w:id="4"/>
          <w:p w14:paraId="30B12A93" w14:textId="77777777" w:rsidR="000E5BB0" w:rsidRDefault="009A3D18">
            <w:pPr>
              <w:widowControl w:val="0"/>
              <w:autoSpaceDE w:val="0"/>
              <w:autoSpaceDN w:val="0"/>
              <w:adjustRightInd w:val="0"/>
              <w:rPr>
                <w:color w:val="000000"/>
              </w:rPr>
            </w:pPr>
            <w:r>
              <w:rPr>
                <w:color w:val="000000"/>
              </w:rPr>
              <w:fldChar w:fldCharType="begin"/>
            </w:r>
            <w:r>
              <w:rPr>
                <w:color w:val="000000"/>
              </w:rPr>
              <w:instrText xml:space="preserve">HYPERLINK "#co_footnoteReference_I84aeb3a004df11e8a3" </w:instrText>
            </w:r>
            <w:r>
              <w:rPr>
                <w:color w:val="000000"/>
              </w:rPr>
              <w:fldChar w:fldCharType="separate"/>
            </w:r>
            <w:r>
              <w:rPr>
                <w:color w:val="000000"/>
                <w:vertAlign w:val="superscript"/>
              </w:rPr>
              <w:t>*</w:t>
            </w:r>
            <w:r>
              <w:rPr>
                <w:color w:val="000000"/>
              </w:rPr>
              <w:fldChar w:fldCharType="end"/>
            </w:r>
          </w:p>
          <w:p w14:paraId="17BB14DC" w14:textId="77777777" w:rsidR="000E5BB0" w:rsidRDefault="000E5BB0">
            <w:pPr>
              <w:widowControl w:val="0"/>
              <w:autoSpaceDE w:val="0"/>
              <w:autoSpaceDN w:val="0"/>
              <w:adjustRightInd w:val="0"/>
              <w:rPr>
                <w:color w:val="000000"/>
              </w:rPr>
            </w:pPr>
          </w:p>
        </w:tc>
        <w:tc>
          <w:tcPr>
            <w:tcW w:w="9480" w:type="dxa"/>
            <w:tcBorders>
              <w:top w:val="nil"/>
              <w:left w:val="nil"/>
              <w:bottom w:val="nil"/>
              <w:right w:val="nil"/>
            </w:tcBorders>
            <w:tcMar>
              <w:top w:w="90" w:type="dxa"/>
              <w:bottom w:w="90" w:type="dxa"/>
            </w:tcMar>
          </w:tcPr>
          <w:p w14:paraId="7F1BEC06" w14:textId="77777777" w:rsidR="000E5BB0" w:rsidRDefault="009A3D18">
            <w:pPr>
              <w:widowControl w:val="0"/>
              <w:autoSpaceDE w:val="0"/>
              <w:autoSpaceDN w:val="0"/>
              <w:adjustRightInd w:val="0"/>
              <w:spacing w:before="180"/>
              <w:rPr>
                <w:b/>
                <w:bCs/>
                <w:color w:val="000000"/>
                <w:sz w:val="18"/>
                <w:szCs w:val="18"/>
              </w:rPr>
            </w:pPr>
            <w:r>
              <w:rPr>
                <w:b/>
                <w:bCs/>
                <w:color w:val="000000"/>
                <w:sz w:val="18"/>
                <w:szCs w:val="18"/>
              </w:rPr>
              <w:t>About the Author</w:t>
            </w:r>
          </w:p>
          <w:p w14:paraId="6D3A938B" w14:textId="77777777" w:rsidR="000E5BB0" w:rsidRDefault="009A3D18">
            <w:pPr>
              <w:widowControl w:val="0"/>
              <w:autoSpaceDE w:val="0"/>
              <w:autoSpaceDN w:val="0"/>
              <w:adjustRightInd w:val="0"/>
              <w:jc w:val="both"/>
              <w:rPr>
                <w:color w:val="000000"/>
                <w:sz w:val="18"/>
                <w:szCs w:val="18"/>
              </w:rPr>
            </w:pPr>
            <w:r>
              <w:rPr>
                <w:color w:val="000000"/>
                <w:sz w:val="18"/>
                <w:szCs w:val="18"/>
              </w:rPr>
              <w:t xml:space="preserve">Paul D. Rheingold is the founding partner of Rheingold, Valet, Rheingold, McCartney &amp; </w:t>
            </w:r>
            <w:proofErr w:type="spellStart"/>
            <w:r>
              <w:rPr>
                <w:color w:val="000000"/>
                <w:sz w:val="18"/>
                <w:szCs w:val="18"/>
              </w:rPr>
              <w:t>Giuffra</w:t>
            </w:r>
            <w:proofErr w:type="spellEnd"/>
            <w:r>
              <w:rPr>
                <w:color w:val="000000"/>
                <w:sz w:val="18"/>
                <w:szCs w:val="18"/>
              </w:rPr>
              <w:t xml:space="preserve"> LLP, a law firm based in New York City. He has long been active in mass tort work, including leadership and educational roles in over 20 drug and medical device mass torts. These have included litigations involving </w:t>
            </w:r>
            <w:proofErr w:type="spellStart"/>
            <w:r>
              <w:rPr>
                <w:color w:val="000000"/>
                <w:sz w:val="18"/>
                <w:szCs w:val="18"/>
              </w:rPr>
              <w:t>NuvaRing</w:t>
            </w:r>
            <w:proofErr w:type="spellEnd"/>
            <w:r>
              <w:rPr>
                <w:color w:val="000000"/>
                <w:sz w:val="18"/>
                <w:szCs w:val="18"/>
              </w:rPr>
              <w:t xml:space="preserve">, </w:t>
            </w:r>
            <w:proofErr w:type="spellStart"/>
            <w:r>
              <w:rPr>
                <w:color w:val="000000"/>
                <w:sz w:val="18"/>
                <w:szCs w:val="18"/>
              </w:rPr>
              <w:t>Bextra</w:t>
            </w:r>
            <w:proofErr w:type="spellEnd"/>
            <w:r>
              <w:rPr>
                <w:color w:val="000000"/>
                <w:sz w:val="18"/>
                <w:szCs w:val="18"/>
              </w:rPr>
              <w:t xml:space="preserve">, </w:t>
            </w:r>
            <w:proofErr w:type="spellStart"/>
            <w:r>
              <w:rPr>
                <w:color w:val="000000"/>
                <w:sz w:val="18"/>
                <w:szCs w:val="18"/>
              </w:rPr>
              <w:t>Vioxx</w:t>
            </w:r>
            <w:proofErr w:type="spellEnd"/>
            <w:r>
              <w:rPr>
                <w:color w:val="000000"/>
                <w:sz w:val="18"/>
                <w:szCs w:val="18"/>
              </w:rPr>
              <w:t xml:space="preserve">, ephedra, PPA (phenylpropanolamine), diet pills, MER-29, Albuterol, L-tryptophan, </w:t>
            </w:r>
            <w:proofErr w:type="spellStart"/>
            <w:r>
              <w:rPr>
                <w:color w:val="000000"/>
                <w:sz w:val="18"/>
                <w:szCs w:val="18"/>
              </w:rPr>
              <w:t>Dalkon</w:t>
            </w:r>
            <w:proofErr w:type="spellEnd"/>
            <w:r>
              <w:rPr>
                <w:color w:val="000000"/>
                <w:sz w:val="18"/>
                <w:szCs w:val="18"/>
              </w:rPr>
              <w:t xml:space="preserve"> Shield, and others. A cum laude graduate of Harvard Law School, Mr. Rheingold is the former national secretary of the American Association for Justice; he has been a faculty member at Harvard Law School, a visiting scholar at Stanford Law School and the RAND Institute; and he has lectured at many other law schools. He is a member of the New York, Massachusetts, and District of Columbia Bars.</w:t>
            </w:r>
          </w:p>
          <w:p w14:paraId="7B3B34F4" w14:textId="77777777" w:rsidR="000E5BB0" w:rsidRDefault="000E5BB0">
            <w:pPr>
              <w:widowControl w:val="0"/>
              <w:autoSpaceDE w:val="0"/>
              <w:autoSpaceDN w:val="0"/>
              <w:adjustRightInd w:val="0"/>
              <w:rPr>
                <w:color w:val="000000"/>
                <w:sz w:val="18"/>
                <w:szCs w:val="18"/>
              </w:rPr>
            </w:pPr>
          </w:p>
        </w:tc>
      </w:tr>
    </w:tbl>
    <w:p w14:paraId="17383935" w14:textId="77777777" w:rsidR="000E5BB0" w:rsidRDefault="000E5BB0">
      <w:pPr>
        <w:widowControl w:val="0"/>
        <w:autoSpaceDE w:val="0"/>
        <w:autoSpaceDN w:val="0"/>
        <w:adjustRightInd w:val="0"/>
        <w:jc w:val="both"/>
        <w:rPr>
          <w:color w:val="000000"/>
        </w:rPr>
      </w:pPr>
    </w:p>
    <w:p w14:paraId="62F7559B" w14:textId="77777777" w:rsidR="000E5BB0" w:rsidRDefault="009A3D18">
      <w:pPr>
        <w:widowControl w:val="0"/>
        <w:autoSpaceDE w:val="0"/>
        <w:autoSpaceDN w:val="0"/>
        <w:adjustRightInd w:val="0"/>
        <w:spacing w:before="420"/>
        <w:jc w:val="both"/>
        <w:rPr>
          <w:color w:val="757575"/>
          <w:sz w:val="16"/>
          <w:szCs w:val="16"/>
        </w:rPr>
      </w:pPr>
      <w:r>
        <w:rPr>
          <w:color w:val="757575"/>
          <w:sz w:val="16"/>
          <w:szCs w:val="16"/>
        </w:rPr>
        <w:t>Westlaw. © 2018 Thomson Reuters. No Claim to Orig. U.S. Govt. Works.</w:t>
      </w:r>
    </w:p>
    <w:tbl>
      <w:tblPr>
        <w:tblW w:w="0" w:type="auto"/>
        <w:tblInd w:w="24" w:type="dxa"/>
        <w:tblLayout w:type="fixed"/>
        <w:tblCellMar>
          <w:left w:w="0" w:type="dxa"/>
          <w:right w:w="0" w:type="dxa"/>
        </w:tblCellMar>
        <w:tblLook w:val="0000" w:firstRow="0" w:lastRow="0" w:firstColumn="0" w:lastColumn="0" w:noHBand="0" w:noVBand="0"/>
      </w:tblPr>
      <w:tblGrid>
        <w:gridCol w:w="4320"/>
        <w:gridCol w:w="5760"/>
      </w:tblGrid>
      <w:tr w:rsidR="000E5BB0" w14:paraId="0C60FB46" w14:textId="77777777">
        <w:tc>
          <w:tcPr>
            <w:tcW w:w="4320" w:type="dxa"/>
            <w:tcBorders>
              <w:top w:val="single" w:sz="4" w:space="0" w:color="777777"/>
              <w:left w:val="nil"/>
              <w:bottom w:val="nil"/>
              <w:right w:val="nil"/>
            </w:tcBorders>
            <w:tcMar>
              <w:top w:w="100" w:type="dxa"/>
              <w:left w:w="24" w:type="dxa"/>
              <w:right w:w="24" w:type="dxa"/>
            </w:tcMar>
          </w:tcPr>
          <w:p w14:paraId="459C13B8" w14:textId="77777777" w:rsidR="000E5BB0" w:rsidRDefault="009A3D18">
            <w:pPr>
              <w:widowControl w:val="0"/>
              <w:autoSpaceDE w:val="0"/>
              <w:autoSpaceDN w:val="0"/>
              <w:adjustRightInd w:val="0"/>
              <w:ind w:left="24" w:right="24"/>
              <w:rPr>
                <w:b/>
                <w:bCs/>
                <w:color w:val="777777"/>
                <w:sz w:val="16"/>
                <w:szCs w:val="16"/>
              </w:rPr>
            </w:pPr>
            <w:r>
              <w:rPr>
                <w:b/>
                <w:bCs/>
                <w:color w:val="777777"/>
                <w:sz w:val="16"/>
                <w:szCs w:val="16"/>
              </w:rPr>
              <w:t>End of Document</w:t>
            </w:r>
          </w:p>
          <w:p w14:paraId="0FAD4FB7" w14:textId="77777777" w:rsidR="000E5BB0" w:rsidRDefault="000E5BB0">
            <w:pPr>
              <w:widowControl w:val="0"/>
              <w:autoSpaceDE w:val="0"/>
              <w:autoSpaceDN w:val="0"/>
              <w:adjustRightInd w:val="0"/>
              <w:ind w:left="24" w:right="24"/>
              <w:rPr>
                <w:b/>
                <w:bCs/>
                <w:color w:val="777777"/>
                <w:sz w:val="16"/>
                <w:szCs w:val="16"/>
              </w:rPr>
            </w:pPr>
          </w:p>
        </w:tc>
        <w:tc>
          <w:tcPr>
            <w:tcW w:w="5760" w:type="dxa"/>
            <w:tcBorders>
              <w:top w:val="single" w:sz="4" w:space="0" w:color="777777"/>
              <w:left w:val="nil"/>
              <w:bottom w:val="nil"/>
              <w:right w:val="nil"/>
            </w:tcBorders>
            <w:tcMar>
              <w:top w:w="100" w:type="dxa"/>
              <w:left w:w="30" w:type="dxa"/>
              <w:right w:w="30" w:type="dxa"/>
            </w:tcMar>
          </w:tcPr>
          <w:p w14:paraId="06D7D91B" w14:textId="77777777" w:rsidR="000E5BB0" w:rsidRDefault="009A3D18">
            <w:pPr>
              <w:widowControl w:val="0"/>
              <w:autoSpaceDE w:val="0"/>
              <w:autoSpaceDN w:val="0"/>
              <w:adjustRightInd w:val="0"/>
              <w:ind w:left="30" w:right="30"/>
              <w:jc w:val="right"/>
              <w:rPr>
                <w:color w:val="777777"/>
              </w:rPr>
            </w:pPr>
            <w:r>
              <w:rPr>
                <w:color w:val="777777"/>
              </w:rPr>
              <w:t>© 2018 Thomson Reuters. No claim to original U.S. Government Works.</w:t>
            </w:r>
          </w:p>
          <w:p w14:paraId="21B08813" w14:textId="77777777" w:rsidR="000E5BB0" w:rsidRDefault="000E5BB0">
            <w:pPr>
              <w:widowControl w:val="0"/>
              <w:autoSpaceDE w:val="0"/>
              <w:autoSpaceDN w:val="0"/>
              <w:adjustRightInd w:val="0"/>
              <w:ind w:left="30" w:right="30"/>
              <w:jc w:val="right"/>
              <w:rPr>
                <w:color w:val="777777"/>
              </w:rPr>
            </w:pPr>
          </w:p>
        </w:tc>
      </w:tr>
    </w:tbl>
    <w:p w14:paraId="7F947302" w14:textId="77777777" w:rsidR="000E5BB0" w:rsidRDefault="000E5BB0">
      <w:pPr>
        <w:widowControl w:val="0"/>
        <w:autoSpaceDE w:val="0"/>
        <w:autoSpaceDN w:val="0"/>
        <w:adjustRightInd w:val="0"/>
        <w:jc w:val="both"/>
        <w:rPr>
          <w:color w:val="000000"/>
        </w:rPr>
      </w:pPr>
    </w:p>
    <w:p w14:paraId="7D0D17F9" w14:textId="77777777" w:rsidR="009A3D18" w:rsidRDefault="009A3D18">
      <w:pPr>
        <w:widowControl w:val="0"/>
        <w:autoSpaceDE w:val="0"/>
        <w:autoSpaceDN w:val="0"/>
        <w:adjustRightInd w:val="0"/>
        <w:rPr>
          <w:rFonts w:ascii="Arial" w:hAnsi="Arial" w:cs="Arial"/>
        </w:rPr>
      </w:pPr>
    </w:p>
    <w:sectPr w:rsidR="009A3D18">
      <w:type w:val="continuous"/>
      <w:pgSz w:w="12240" w:h="15840"/>
      <w:pgMar w:top="1800" w:right="1080" w:bottom="1080" w:left="108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1D89A5" w14:textId="77777777" w:rsidR="00312475" w:rsidRDefault="00312475">
      <w:r>
        <w:separator/>
      </w:r>
    </w:p>
  </w:endnote>
  <w:endnote w:type="continuationSeparator" w:id="0">
    <w:p w14:paraId="0CA91F81" w14:textId="77777777" w:rsidR="00312475" w:rsidRDefault="003124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9300"/>
      <w:gridCol w:w="700"/>
    </w:tblGrid>
    <w:tr w:rsidR="00312475" w14:paraId="216C91C8" w14:textId="77777777">
      <w:tc>
        <w:tcPr>
          <w:tcW w:w="9300" w:type="dxa"/>
          <w:tcBorders>
            <w:top w:val="single" w:sz="8" w:space="0" w:color="AAAAAA"/>
            <w:left w:val="nil"/>
            <w:bottom w:val="nil"/>
            <w:right w:val="nil"/>
          </w:tcBorders>
          <w:tcMar>
            <w:top w:w="60" w:type="dxa"/>
          </w:tcMar>
          <w:vAlign w:val="bottom"/>
        </w:tcPr>
        <w:p w14:paraId="61FE4549" w14:textId="6AF4DA28" w:rsidR="00312475" w:rsidRDefault="00312475">
          <w:pPr>
            <w:widowControl w:val="0"/>
            <w:autoSpaceDE w:val="0"/>
            <w:autoSpaceDN w:val="0"/>
            <w:adjustRightInd w:val="0"/>
            <w:rPr>
              <w:rFonts w:ascii="Arial" w:hAnsi="Arial" w:cs="Arial"/>
              <w:color w:val="AAAAAA"/>
            </w:rPr>
          </w:pPr>
          <w:r>
            <w:rPr>
              <w:rFonts w:ascii="Arial" w:hAnsi="Arial" w:cs="Arial"/>
              <w:noProof/>
              <w:color w:val="AAAAAA"/>
            </w:rPr>
            <w:drawing>
              <wp:inline distT="0" distB="0" distL="0" distR="0" wp14:anchorId="061C5BFF" wp14:editId="5A96EC52">
                <wp:extent cx="742950" cy="9779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97790"/>
                        </a:xfrm>
                        <a:prstGeom prst="rect">
                          <a:avLst/>
                        </a:prstGeom>
                        <a:noFill/>
                        <a:ln>
                          <a:noFill/>
                        </a:ln>
                      </pic:spPr>
                    </pic:pic>
                  </a:graphicData>
                </a:graphic>
              </wp:inline>
            </w:drawing>
          </w:r>
          <w:r>
            <w:rPr>
              <w:rFonts w:ascii="Arial" w:hAnsi="Arial" w:cs="Arial"/>
              <w:color w:val="AAAAAA"/>
            </w:rPr>
            <w:t xml:space="preserve"> © 2018 Thomson Reuters. No claim to original U.S. Government Works.</w:t>
          </w:r>
        </w:p>
      </w:tc>
      <w:tc>
        <w:tcPr>
          <w:tcW w:w="700" w:type="dxa"/>
          <w:tcBorders>
            <w:top w:val="single" w:sz="8" w:space="0" w:color="AAAAAA"/>
            <w:left w:val="nil"/>
            <w:bottom w:val="nil"/>
            <w:right w:val="nil"/>
          </w:tcBorders>
          <w:tcMar>
            <w:top w:w="60" w:type="dxa"/>
          </w:tcMar>
        </w:tcPr>
        <w:p w14:paraId="72B4E971" w14:textId="77777777" w:rsidR="00312475" w:rsidRDefault="00312475">
          <w:pPr>
            <w:widowControl w:val="0"/>
            <w:autoSpaceDE w:val="0"/>
            <w:autoSpaceDN w:val="0"/>
            <w:adjustRightInd w:val="0"/>
            <w:jc w:val="right"/>
            <w:rPr>
              <w:rFonts w:ascii="Arial" w:hAnsi="Arial" w:cs="Arial"/>
              <w:color w:val="AAAAAA"/>
            </w:rPr>
          </w:pPr>
          <w:r>
            <w:rPr>
              <w:rFonts w:ascii="Arial" w:hAnsi="Arial" w:cs="Arial"/>
              <w:color w:val="AAAAAA"/>
            </w:rPr>
            <w:pgNum/>
          </w:r>
        </w:p>
      </w:tc>
    </w:tr>
  </w:tbl>
  <w:p w14:paraId="5D2177B4" w14:textId="77777777" w:rsidR="00312475" w:rsidRDefault="00312475">
    <w:pPr>
      <w:widowControl w:val="0"/>
      <w:autoSpaceDE w:val="0"/>
      <w:autoSpaceDN w:val="0"/>
      <w:adjustRightInd w:val="0"/>
      <w:rPr>
        <w:rFonts w:ascii="Arial" w:hAnsi="Arial" w:cs="Arial"/>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80DBC5" w14:textId="77777777" w:rsidR="00312475" w:rsidRDefault="00312475">
      <w:r>
        <w:separator/>
      </w:r>
    </w:p>
  </w:footnote>
  <w:footnote w:type="continuationSeparator" w:id="0">
    <w:p w14:paraId="6FB36B4E" w14:textId="77777777" w:rsidR="00312475" w:rsidRDefault="0031247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9380"/>
      <w:gridCol w:w="700"/>
    </w:tblGrid>
    <w:tr w:rsidR="00312475" w14:paraId="34EFB574" w14:textId="77777777">
      <w:trPr>
        <w:gridAfter w:val="1"/>
        <w:wAfter w:w="700" w:type="dxa"/>
      </w:trPr>
      <w:tc>
        <w:tcPr>
          <w:tcW w:w="9380" w:type="dxa"/>
          <w:tcBorders>
            <w:top w:val="nil"/>
            <w:left w:val="nil"/>
            <w:bottom w:val="nil"/>
            <w:right w:val="nil"/>
          </w:tcBorders>
          <w:tcMar>
            <w:top w:w="400" w:type="dxa"/>
            <w:bottom w:w="60" w:type="dxa"/>
          </w:tcMar>
          <w:vAlign w:val="bottom"/>
        </w:tcPr>
        <w:p w14:paraId="729B813B" w14:textId="77777777" w:rsidR="00312475" w:rsidRDefault="00312475">
          <w:pPr>
            <w:widowControl w:val="0"/>
            <w:autoSpaceDE w:val="0"/>
            <w:autoSpaceDN w:val="0"/>
            <w:adjustRightInd w:val="0"/>
            <w:jc w:val="center"/>
            <w:rPr>
              <w:rFonts w:ascii="Arial" w:hAnsi="Arial" w:cs="Arial"/>
              <w:color w:val="000000"/>
              <w:sz w:val="18"/>
              <w:szCs w:val="18"/>
            </w:rPr>
          </w:pPr>
          <w:r>
            <w:rPr>
              <w:rFonts w:ascii="Arial" w:hAnsi="Arial" w:cs="Arial"/>
              <w:b/>
              <w:bCs/>
              <w:color w:val="000000"/>
              <w:sz w:val="18"/>
              <w:szCs w:val="18"/>
            </w:rPr>
            <w:t>Burch, Elizabeth</w:t>
          </w:r>
          <w:r>
            <w:rPr>
              <w:rFonts w:ascii="Arial" w:hAnsi="Arial" w:cs="Arial"/>
              <w:color w:val="000000"/>
              <w:sz w:val="18"/>
              <w:szCs w:val="18"/>
            </w:rPr>
            <w:t xml:space="preserve"> </w:t>
          </w:r>
          <w:r>
            <w:rPr>
              <w:rFonts w:ascii="Arial" w:hAnsi="Arial" w:cs="Arial"/>
              <w:b/>
              <w:bCs/>
              <w:color w:val="000000"/>
              <w:sz w:val="18"/>
              <w:szCs w:val="18"/>
            </w:rPr>
            <w:t>2/19/2018</w:t>
          </w:r>
        </w:p>
        <w:p w14:paraId="52B99757" w14:textId="77777777" w:rsidR="00312475" w:rsidRDefault="00312475">
          <w:pPr>
            <w:widowControl w:val="0"/>
            <w:autoSpaceDE w:val="0"/>
            <w:autoSpaceDN w:val="0"/>
            <w:adjustRightInd w:val="0"/>
            <w:jc w:val="center"/>
            <w:rPr>
              <w:rFonts w:ascii="Arial" w:hAnsi="Arial" w:cs="Arial"/>
              <w:color w:val="000000"/>
              <w:sz w:val="18"/>
              <w:szCs w:val="18"/>
            </w:rPr>
          </w:pPr>
          <w:r>
            <w:rPr>
              <w:rFonts w:ascii="Arial" w:hAnsi="Arial" w:cs="Arial"/>
              <w:b/>
              <w:bCs/>
              <w:color w:val="000000"/>
              <w:sz w:val="18"/>
              <w:szCs w:val="18"/>
            </w:rPr>
            <w:t>For Educational Use Only</w:t>
          </w:r>
        </w:p>
      </w:tc>
    </w:tr>
    <w:tr w:rsidR="00312475" w14:paraId="6FD56B91" w14:textId="77777777">
      <w:tc>
        <w:tcPr>
          <w:tcW w:w="9380" w:type="dxa"/>
          <w:tcBorders>
            <w:top w:val="nil"/>
            <w:left w:val="nil"/>
            <w:bottom w:val="single" w:sz="8" w:space="0" w:color="AAAAAA"/>
            <w:right w:val="nil"/>
          </w:tcBorders>
          <w:tcMar>
            <w:top w:w="400" w:type="dxa"/>
            <w:bottom w:w="60" w:type="dxa"/>
          </w:tcMar>
          <w:vAlign w:val="bottom"/>
        </w:tcPr>
        <w:p w14:paraId="6B10FC9A" w14:textId="77777777" w:rsidR="00312475" w:rsidRDefault="00312475">
          <w:pPr>
            <w:widowControl w:val="0"/>
            <w:autoSpaceDE w:val="0"/>
            <w:autoSpaceDN w:val="0"/>
            <w:adjustRightInd w:val="0"/>
            <w:rPr>
              <w:rFonts w:ascii="Arial" w:hAnsi="Arial" w:cs="Arial"/>
              <w:color w:val="000000"/>
              <w:sz w:val="18"/>
              <w:szCs w:val="18"/>
            </w:rPr>
          </w:pPr>
          <w:r>
            <w:rPr>
              <w:rFonts w:ascii="Arial" w:hAnsi="Arial" w:cs="Arial"/>
              <w:b/>
              <w:bCs/>
              <w:color w:val="555555"/>
              <w:sz w:val="18"/>
              <w:szCs w:val="18"/>
            </w:rPr>
            <w:t>§ 9:39.80.DePuy ASR metal hips settlement, Litigating Mass Tort Cases § 9:39.80</w:t>
          </w:r>
        </w:p>
      </w:tc>
      <w:tc>
        <w:tcPr>
          <w:tcW w:w="700" w:type="dxa"/>
          <w:tcBorders>
            <w:top w:val="nil"/>
            <w:left w:val="nil"/>
            <w:bottom w:val="single" w:sz="8" w:space="0" w:color="AAAAAA"/>
            <w:right w:val="nil"/>
          </w:tcBorders>
          <w:tcMar>
            <w:top w:w="400" w:type="dxa"/>
            <w:bottom w:w="60" w:type="dxa"/>
          </w:tcMar>
        </w:tcPr>
        <w:p w14:paraId="05B79B82" w14:textId="77777777" w:rsidR="00312475" w:rsidRDefault="00312475">
          <w:pPr>
            <w:widowControl w:val="0"/>
            <w:autoSpaceDE w:val="0"/>
            <w:autoSpaceDN w:val="0"/>
            <w:adjustRightInd w:val="0"/>
            <w:jc w:val="right"/>
            <w:rPr>
              <w:rFonts w:ascii="Arial" w:hAnsi="Arial" w:cs="Arial"/>
              <w:color w:val="000000"/>
              <w:sz w:val="18"/>
              <w:szCs w:val="18"/>
            </w:rPr>
          </w:pPr>
        </w:p>
      </w:tc>
    </w:tr>
    <w:tr w:rsidR="00312475" w14:paraId="50FE09A9" w14:textId="77777777">
      <w:tc>
        <w:tcPr>
          <w:tcW w:w="10080" w:type="dxa"/>
          <w:gridSpan w:val="2"/>
          <w:tcBorders>
            <w:top w:val="nil"/>
            <w:left w:val="nil"/>
            <w:bottom w:val="nil"/>
            <w:right w:val="nil"/>
          </w:tcBorders>
        </w:tcPr>
        <w:p w14:paraId="698C935B" w14:textId="77777777" w:rsidR="00312475" w:rsidRDefault="00312475">
          <w:pPr>
            <w:widowControl w:val="0"/>
            <w:autoSpaceDE w:val="0"/>
            <w:autoSpaceDN w:val="0"/>
            <w:adjustRightInd w:val="0"/>
            <w:rPr>
              <w:rFonts w:ascii="Arial" w:hAnsi="Arial" w:cs="Arial"/>
              <w:color w:val="000000"/>
              <w:sz w:val="18"/>
              <w:szCs w:val="18"/>
            </w:rPr>
          </w:pPr>
        </w:p>
      </w:tc>
    </w:tr>
  </w:tbl>
  <w:p w14:paraId="3CC57F0C" w14:textId="77777777" w:rsidR="00312475" w:rsidRDefault="00312475">
    <w:pPr>
      <w:widowControl w:val="0"/>
      <w:autoSpaceDE w:val="0"/>
      <w:autoSpaceDN w:val="0"/>
      <w:adjustRightInd w:val="0"/>
      <w:rPr>
        <w:rFonts w:ascii="Arial" w:hAnsi="Arial" w:cs="Arial"/>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35DE8F1"/>
    <w:multiLevelType w:val="singleLevel"/>
    <w:tmpl w:val="DCE38908"/>
    <w:lvl w:ilvl="0">
      <w:numFmt w:val="decimal"/>
      <w:lvlText w:val=" "/>
      <w:lvlJc w:val="left"/>
    </w:lvl>
  </w:abstractNum>
  <w:abstractNum w:abstractNumId="1">
    <w:nsid w:val="C8B201F8"/>
    <w:multiLevelType w:val="singleLevel"/>
    <w:tmpl w:val="FA56317B"/>
    <w:lvl w:ilvl="0">
      <w:numFmt w:val="decimal"/>
      <w:lvlText w:val=" "/>
      <w:lvlJc w:val="left"/>
    </w:lvl>
  </w:abstractNum>
  <w:num w:numId="1">
    <w:abstractNumId w:val="0"/>
  </w:num>
  <w:num w:numId="2">
    <w:abstractNumId w:val="0"/>
  </w:num>
  <w:num w:numId="3">
    <w:abstractNumId w:val="0"/>
  </w:num>
  <w:num w:numId="4">
    <w:abstractNumId w:val="0"/>
  </w:num>
  <w:num w:numId="5">
    <w:abstractNumId w:val="0"/>
  </w:num>
  <w:num w:numId="6">
    <w:abstractNumId w:val="1"/>
  </w:num>
  <w:num w:numId="7">
    <w:abstractNumId w:val="1"/>
  </w:num>
  <w:num w:numId="8">
    <w:abstractNumId w:val="1"/>
  </w:num>
  <w:num w:numId="9">
    <w:abstractNumId w:val="1"/>
  </w:num>
  <w:num w:numId="10">
    <w:abstractNumId w:val="1"/>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E21"/>
    <w:rsid w:val="000E5BB0"/>
    <w:rsid w:val="00312475"/>
    <w:rsid w:val="00756E21"/>
    <w:rsid w:val="00865055"/>
    <w:rsid w:val="009A3D18"/>
    <w:rsid w:val="00B966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2CC7134F"/>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247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1247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247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1247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westlaw.com/Link/Document/FullText?findType=Y&amp;pubNum=142907&amp;cite=MTLs9%3a39.50&amp;originatingDoc=I30ba47b2f24011e39b04b2440dd07f32&amp;refType=NA&amp;originationContext=document&amp;vr=3.0&amp;rs=cblt1.0&amp;transitionType=DocumentItem&amp;contextData=(sc.Category)" TargetMode="External"/><Relationship Id="rId12" Type="http://schemas.openxmlformats.org/officeDocument/2006/relationships/hyperlink" Target="http://www.westlaw.com/Link/Document/FullText?findType=Y&amp;pubNum=142907&amp;cite=MTLs9%3a20&amp;originatingDoc=I30ba47b2f24011e39b04b2440dd07f32&amp;refType=NA&amp;originationContext=document&amp;vr=3.0&amp;rs=cblt1.0&amp;transitionType=DocumentItem&amp;contextData=(sc.Category)" TargetMode="External"/><Relationship Id="rId13" Type="http://schemas.openxmlformats.org/officeDocument/2006/relationships/hyperlink" Target="http://www.westlaw.com/Link/Document/FullText?findType=Y&amp;pubNum=142907&amp;cite=MTLs17%3a29&amp;originatingDoc=I30ba47b2f24011e39b04b2440dd07f32&amp;refType=NA&amp;originationContext=document&amp;vr=3.0&amp;rs=cblt1.0&amp;transitionType=DocumentItem&amp;contextData=(sc.Category)"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yperlink" Target="http://www.westlaw.com/Link/Document/FullText?findType=Y&amp;pubNum=142907&amp;cite=MTL+CH+9+REF&amp;originatingDoc=I30ba47b2f24011e39b04b2440dd07f32&amp;refType=DA&amp;originationContext=document&amp;vr=3.0&amp;rs=cblt1.0&amp;transitionType=DocumentItem&amp;contextData=(sc.Category)"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1142</Words>
  <Characters>6516</Characters>
  <Application>Microsoft Macintosh Word</Application>
  <DocSecurity>0</DocSecurity>
  <Lines>54</Lines>
  <Paragraphs>15</Paragraphs>
  <ScaleCrop>false</ScaleCrop>
  <Company/>
  <LinksUpToDate>false</LinksUpToDate>
  <CharactersWithSpaces>7643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Elizabeth Burch</cp:lastModifiedBy>
  <cp:revision>4</cp:revision>
  <dcterms:created xsi:type="dcterms:W3CDTF">2018-02-19T20:29:00Z</dcterms:created>
  <dcterms:modified xsi:type="dcterms:W3CDTF">2018-04-03T00:58:00Z</dcterms:modified>
</cp:coreProperties>
</file>