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3E983" w14:textId="77777777" w:rsidR="00793DC4" w:rsidRDefault="00793DC4">
      <w:pPr>
        <w:widowControl w:val="0"/>
        <w:autoSpaceDE w:val="0"/>
        <w:autoSpaceDN w:val="0"/>
        <w:adjustRightInd w:val="0"/>
        <w:rPr>
          <w:sz w:val="24"/>
          <w:szCs w:val="24"/>
        </w:rPr>
      </w:pPr>
    </w:p>
    <w:p w14:paraId="6EC208AD" w14:textId="77777777" w:rsidR="00793DC4" w:rsidRDefault="00793DC4">
      <w:pPr>
        <w:widowControl w:val="0"/>
        <w:autoSpaceDE w:val="0"/>
        <w:autoSpaceDN w:val="0"/>
        <w:adjustRightInd w:val="0"/>
        <w:rPr>
          <w:rFonts w:ascii="Arial" w:hAnsi="Arial" w:cs="Arial"/>
          <w:sz w:val="24"/>
          <w:szCs w:val="24"/>
        </w:rPr>
        <w:sectPr w:rsidR="00793DC4">
          <w:headerReference w:type="default" r:id="rId8"/>
          <w:footerReference w:type="default" r:id="rId9"/>
          <w:pgSz w:w="12240" w:h="15840"/>
          <w:pgMar w:top="1800" w:right="1080" w:bottom="1080" w:left="1080" w:header="720" w:footer="720" w:gutter="0"/>
          <w:cols w:space="720"/>
          <w:noEndnote/>
        </w:sectPr>
      </w:pPr>
    </w:p>
    <w:p w14:paraId="24D3CDA2" w14:textId="77777777" w:rsidR="00793DC4" w:rsidRDefault="00F61700">
      <w:pPr>
        <w:widowControl w:val="0"/>
        <w:autoSpaceDE w:val="0"/>
        <w:autoSpaceDN w:val="0"/>
        <w:adjustRightInd w:val="0"/>
        <w:jc w:val="both"/>
        <w:rPr>
          <w:color w:val="000000"/>
          <w:sz w:val="16"/>
          <w:szCs w:val="16"/>
        </w:rPr>
      </w:pPr>
      <w:r>
        <w:rPr>
          <w:noProof/>
          <w:color w:val="000000"/>
          <w:sz w:val="16"/>
          <w:szCs w:val="16"/>
        </w:rPr>
        <w:lastRenderedPageBreak/>
        <w:drawing>
          <wp:inline distT="0" distB="0" distL="0" distR="0" wp14:anchorId="3B776927" wp14:editId="6F09DDF9">
            <wp:extent cx="161925" cy="161925"/>
            <wp:effectExtent l="0" t="0" r="0"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roofErr w:type="spellStart"/>
      <w:r w:rsidR="00793DC4">
        <w:rPr>
          <w:color w:val="000000"/>
          <w:sz w:val="16"/>
          <w:szCs w:val="16"/>
        </w:rPr>
        <w:t>KeyCite</w:t>
      </w:r>
      <w:proofErr w:type="spellEnd"/>
      <w:r w:rsidR="00793DC4">
        <w:rPr>
          <w:color w:val="000000"/>
          <w:sz w:val="16"/>
          <w:szCs w:val="16"/>
        </w:rPr>
        <w:t xml:space="preserve"> Yellow Flag - Negative Treatment</w:t>
      </w:r>
    </w:p>
    <w:p w14:paraId="6C849232" w14:textId="77777777" w:rsidR="00793DC4" w:rsidRDefault="00793DC4">
      <w:pPr>
        <w:widowControl w:val="0"/>
        <w:numPr>
          <w:ilvl w:val="0"/>
          <w:numId w:val="1"/>
        </w:numPr>
        <w:autoSpaceDE w:val="0"/>
        <w:autoSpaceDN w:val="0"/>
        <w:adjustRightInd w:val="0"/>
        <w:ind w:hanging="360"/>
        <w:jc w:val="both"/>
        <w:rPr>
          <w:color w:val="000000"/>
          <w:sz w:val="16"/>
          <w:szCs w:val="16"/>
        </w:rPr>
      </w:pPr>
      <w:r>
        <w:rPr>
          <w:color w:val="000000"/>
          <w:sz w:val="16"/>
          <w:szCs w:val="16"/>
        </w:rPr>
        <w:t xml:space="preserve">Declined to Follow by </w:t>
      </w:r>
      <w:hyperlink r:id="rId12" w:history="1">
        <w:proofErr w:type="spellStart"/>
        <w:r>
          <w:rPr>
            <w:color w:val="000000"/>
            <w:sz w:val="16"/>
            <w:szCs w:val="16"/>
          </w:rPr>
          <w:t>Cerveny</w:t>
        </w:r>
        <w:proofErr w:type="spellEnd"/>
        <w:r>
          <w:rPr>
            <w:color w:val="000000"/>
            <w:sz w:val="16"/>
            <w:szCs w:val="16"/>
          </w:rPr>
          <w:t xml:space="preserve"> v. Aventis, Inc., </w:t>
        </w:r>
      </w:hyperlink>
      <w:r>
        <w:rPr>
          <w:color w:val="000000"/>
          <w:sz w:val="16"/>
          <w:szCs w:val="16"/>
        </w:rPr>
        <w:t>10th Cir</w:t>
      </w:r>
      <w:proofErr w:type="gramStart"/>
      <w:r>
        <w:rPr>
          <w:color w:val="000000"/>
          <w:sz w:val="16"/>
          <w:szCs w:val="16"/>
        </w:rPr>
        <w:t>.(</w:t>
      </w:r>
      <w:proofErr w:type="gramEnd"/>
      <w:r>
        <w:rPr>
          <w:color w:val="000000"/>
          <w:sz w:val="16"/>
          <w:szCs w:val="16"/>
        </w:rPr>
        <w:t>Utah), May 2, 2017</w:t>
      </w:r>
    </w:p>
    <w:p w14:paraId="34E979E8" w14:textId="77777777" w:rsidR="00793DC4" w:rsidRDefault="00793DC4">
      <w:pPr>
        <w:widowControl w:val="0"/>
        <w:autoSpaceDE w:val="0"/>
        <w:autoSpaceDN w:val="0"/>
        <w:adjustRightInd w:val="0"/>
        <w:jc w:val="center"/>
        <w:rPr>
          <w:rFonts w:ascii="Georgia" w:hAnsi="Georgia" w:cs="Georgia"/>
          <w:color w:val="000000"/>
        </w:rPr>
      </w:pPr>
      <w:r>
        <w:rPr>
          <w:rFonts w:ascii="Georgia" w:hAnsi="Georgia" w:cs="Georgia"/>
          <w:color w:val="000000"/>
        </w:rPr>
        <w:t>852 F.3d 268</w:t>
      </w:r>
    </w:p>
    <w:p w14:paraId="7BF688ED" w14:textId="77777777" w:rsidR="00793DC4" w:rsidRDefault="00793DC4">
      <w:pPr>
        <w:widowControl w:val="0"/>
        <w:autoSpaceDE w:val="0"/>
        <w:autoSpaceDN w:val="0"/>
        <w:adjustRightInd w:val="0"/>
        <w:jc w:val="center"/>
        <w:rPr>
          <w:rFonts w:ascii="Georgia" w:hAnsi="Georgia" w:cs="Georgia"/>
          <w:color w:val="000000"/>
        </w:rPr>
      </w:pPr>
      <w:r>
        <w:rPr>
          <w:rFonts w:ascii="Georgia" w:hAnsi="Georgia" w:cs="Georgia"/>
          <w:color w:val="000000"/>
        </w:rPr>
        <w:t>United States Court of Appeals,</w:t>
      </w:r>
    </w:p>
    <w:p w14:paraId="3BEFEF86" w14:textId="77777777" w:rsidR="00793DC4" w:rsidRDefault="00793DC4">
      <w:pPr>
        <w:widowControl w:val="0"/>
        <w:autoSpaceDE w:val="0"/>
        <w:autoSpaceDN w:val="0"/>
        <w:adjustRightInd w:val="0"/>
        <w:jc w:val="center"/>
        <w:rPr>
          <w:rFonts w:ascii="Georgia" w:hAnsi="Georgia" w:cs="Georgia"/>
          <w:color w:val="000000"/>
        </w:rPr>
      </w:pPr>
      <w:r>
        <w:rPr>
          <w:rFonts w:ascii="Georgia" w:hAnsi="Georgia" w:cs="Georgia"/>
          <w:color w:val="000000"/>
        </w:rPr>
        <w:t>Third Circuit.</w:t>
      </w:r>
    </w:p>
    <w:p w14:paraId="7EC4B23B" w14:textId="77777777" w:rsidR="00793DC4" w:rsidRDefault="00793DC4">
      <w:pPr>
        <w:widowControl w:val="0"/>
        <w:autoSpaceDE w:val="0"/>
        <w:autoSpaceDN w:val="0"/>
        <w:adjustRightInd w:val="0"/>
        <w:spacing w:before="200" w:after="200"/>
        <w:ind w:left="100" w:right="100"/>
        <w:jc w:val="center"/>
        <w:rPr>
          <w:rFonts w:ascii="Georgia" w:hAnsi="Georgia" w:cs="Georgia"/>
          <w:color w:val="252525"/>
        </w:rPr>
      </w:pPr>
      <w:r>
        <w:rPr>
          <w:rFonts w:ascii="Georgia" w:hAnsi="Georgia" w:cs="Georgia"/>
          <w:color w:val="252525"/>
        </w:rPr>
        <w:t>IN RE: FOSAMAX (ALENDRONATE SODIUM) PRODUCTS LIABILITY LITIGATION</w:t>
      </w:r>
    </w:p>
    <w:p w14:paraId="5AF6775F" w14:textId="77777777" w:rsidR="00793DC4" w:rsidRDefault="00793DC4">
      <w:pPr>
        <w:widowControl w:val="0"/>
        <w:autoSpaceDE w:val="0"/>
        <w:autoSpaceDN w:val="0"/>
        <w:adjustRightInd w:val="0"/>
        <w:ind w:left="200"/>
        <w:jc w:val="center"/>
        <w:rPr>
          <w:rFonts w:ascii="Georgia" w:hAnsi="Georgia" w:cs="Georgia"/>
          <w:color w:val="000000"/>
          <w:sz w:val="16"/>
          <w:szCs w:val="16"/>
        </w:rPr>
      </w:pPr>
      <w:r>
        <w:rPr>
          <w:rFonts w:ascii="Georgia" w:hAnsi="Georgia" w:cs="Georgia"/>
          <w:color w:val="000000"/>
        </w:rPr>
        <w:t>Nos. 14-1900 et al.</w:t>
      </w:r>
      <w:bookmarkStart w:id="0" w:name="co_footnoteReference_B00012041287330_ID0"/>
      <w:bookmarkEnd w:id="0"/>
      <w:r>
        <w:rPr>
          <w:rFonts w:ascii="Georgia" w:hAnsi="Georgia" w:cs="Georgia"/>
          <w:color w:val="000000"/>
          <w:sz w:val="16"/>
          <w:szCs w:val="16"/>
        </w:rPr>
        <w:fldChar w:fldCharType="begin"/>
      </w:r>
      <w:r>
        <w:rPr>
          <w:rFonts w:ascii="Georgia" w:hAnsi="Georgia" w:cs="Georgia"/>
          <w:color w:val="000000"/>
          <w:sz w:val="16"/>
          <w:szCs w:val="16"/>
        </w:rPr>
        <w:instrText xml:space="preserve">HYPERLINK "#co_footnote_B00012041287330_1" </w:instrText>
      </w:r>
      <w:r w:rsidR="00F61700">
        <w:rPr>
          <w:rFonts w:ascii="Georgia" w:hAnsi="Georgia" w:cs="Georgia"/>
          <w:color w:val="000000"/>
          <w:sz w:val="16"/>
          <w:szCs w:val="16"/>
        </w:rPr>
      </w:r>
      <w:r>
        <w:rPr>
          <w:rFonts w:ascii="Georgia" w:hAnsi="Georgia" w:cs="Georgia"/>
          <w:color w:val="000000"/>
          <w:sz w:val="16"/>
          <w:szCs w:val="16"/>
        </w:rPr>
        <w:fldChar w:fldCharType="separate"/>
      </w:r>
      <w:r>
        <w:rPr>
          <w:rFonts w:ascii="Georgia" w:hAnsi="Georgia" w:cs="Georgia"/>
          <w:color w:val="000000"/>
          <w:sz w:val="16"/>
          <w:szCs w:val="16"/>
          <w:vertAlign w:val="superscript"/>
        </w:rPr>
        <w:t>*</w:t>
      </w:r>
      <w:r>
        <w:rPr>
          <w:rFonts w:ascii="Georgia" w:hAnsi="Georgia" w:cs="Georgia"/>
          <w:color w:val="000000"/>
          <w:sz w:val="16"/>
          <w:szCs w:val="16"/>
        </w:rPr>
        <w:fldChar w:fldCharType="end"/>
      </w:r>
    </w:p>
    <w:p w14:paraId="3C4E4DC1" w14:textId="77777777" w:rsidR="00793DC4" w:rsidRDefault="00793DC4">
      <w:pPr>
        <w:widowControl w:val="0"/>
        <w:autoSpaceDE w:val="0"/>
        <w:autoSpaceDN w:val="0"/>
        <w:adjustRightInd w:val="0"/>
        <w:ind w:left="200"/>
        <w:jc w:val="center"/>
        <w:rPr>
          <w:rFonts w:ascii="Georgia" w:hAnsi="Georgia" w:cs="Georgia"/>
          <w:color w:val="000000"/>
        </w:rPr>
      </w:pPr>
      <w:r>
        <w:rPr>
          <w:rFonts w:ascii="Georgia" w:hAnsi="Georgia" w:cs="Georgia"/>
          <w:color w:val="000000"/>
        </w:rPr>
        <w:t>|</w:t>
      </w:r>
    </w:p>
    <w:p w14:paraId="2309C194" w14:textId="77777777" w:rsidR="00793DC4" w:rsidRDefault="00793DC4">
      <w:pPr>
        <w:widowControl w:val="0"/>
        <w:autoSpaceDE w:val="0"/>
        <w:autoSpaceDN w:val="0"/>
        <w:adjustRightInd w:val="0"/>
        <w:ind w:left="200"/>
        <w:jc w:val="center"/>
        <w:rPr>
          <w:rFonts w:ascii="Georgia" w:hAnsi="Georgia" w:cs="Georgia"/>
          <w:color w:val="000000"/>
        </w:rPr>
      </w:pPr>
      <w:r>
        <w:rPr>
          <w:rFonts w:ascii="Georgia" w:hAnsi="Georgia" w:cs="Georgia"/>
          <w:color w:val="000000"/>
        </w:rPr>
        <w:t>Argued June 30, 2016</w:t>
      </w:r>
    </w:p>
    <w:p w14:paraId="485403C9" w14:textId="77777777" w:rsidR="00793DC4" w:rsidRDefault="00793DC4">
      <w:pPr>
        <w:widowControl w:val="0"/>
        <w:autoSpaceDE w:val="0"/>
        <w:autoSpaceDN w:val="0"/>
        <w:adjustRightInd w:val="0"/>
        <w:ind w:left="200"/>
        <w:jc w:val="center"/>
        <w:rPr>
          <w:rFonts w:ascii="Georgia" w:hAnsi="Georgia" w:cs="Georgia"/>
          <w:color w:val="000000"/>
        </w:rPr>
      </w:pPr>
      <w:r>
        <w:rPr>
          <w:rFonts w:ascii="Georgia" w:hAnsi="Georgia" w:cs="Georgia"/>
          <w:color w:val="000000"/>
        </w:rPr>
        <w:t>|</w:t>
      </w:r>
    </w:p>
    <w:p w14:paraId="5A2218A0" w14:textId="77777777" w:rsidR="00793DC4" w:rsidRDefault="00793DC4">
      <w:pPr>
        <w:widowControl w:val="0"/>
        <w:autoSpaceDE w:val="0"/>
        <w:autoSpaceDN w:val="0"/>
        <w:adjustRightInd w:val="0"/>
        <w:spacing w:after="200"/>
        <w:ind w:left="200"/>
        <w:jc w:val="center"/>
        <w:rPr>
          <w:rFonts w:ascii="Georgia" w:hAnsi="Georgia" w:cs="Georgia"/>
          <w:color w:val="000000"/>
        </w:rPr>
      </w:pPr>
      <w:r>
        <w:rPr>
          <w:rFonts w:ascii="Georgia" w:hAnsi="Georgia" w:cs="Georgia"/>
          <w:color w:val="000000"/>
        </w:rPr>
        <w:t>(Opinion Filed: March 22, 2017)</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0CCEC7BC" w14:textId="77777777">
        <w:tblPrEx>
          <w:tblCellMar>
            <w:top w:w="0" w:type="dxa"/>
            <w:left w:w="0" w:type="dxa"/>
            <w:bottom w:w="0" w:type="dxa"/>
            <w:right w:w="0" w:type="dxa"/>
          </w:tblCellMar>
        </w:tblPrEx>
        <w:tc>
          <w:tcPr>
            <w:tcW w:w="600" w:type="dxa"/>
            <w:tcBorders>
              <w:top w:val="nil"/>
              <w:left w:val="nil"/>
              <w:bottom w:val="nil"/>
              <w:right w:val="nil"/>
            </w:tcBorders>
          </w:tcPr>
          <w:bookmarkStart w:id="1" w:name="co_footnote_B00012041287330_1"/>
          <w:bookmarkEnd w:id="1"/>
          <w:p w14:paraId="69178D76"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"#co_footnoteReference_B00012041287330_ID0" </w:instrText>
            </w:r>
            <w:r w:rsidR="00F61700">
              <w:rPr>
                <w:color w:val="000000"/>
              </w:rPr>
            </w:r>
            <w:r>
              <w:rPr>
                <w:color w:val="000000"/>
              </w:rPr>
              <w:fldChar w:fldCharType="separate"/>
            </w:r>
            <w:r>
              <w:rPr>
                <w:color w:val="000000"/>
                <w:vertAlign w:val="superscript"/>
              </w:rPr>
              <w:t>*</w:t>
            </w:r>
            <w:r>
              <w:rPr>
                <w:color w:val="000000"/>
              </w:rPr>
              <w:fldChar w:fldCharType="end"/>
            </w:r>
          </w:p>
          <w:p w14:paraId="479AD1D1"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197012A0" w14:textId="77777777" w:rsidR="00793DC4" w:rsidRDefault="00793DC4">
            <w:pPr>
              <w:widowControl w:val="0"/>
              <w:autoSpaceDE w:val="0"/>
              <w:autoSpaceDN w:val="0"/>
              <w:adjustRightInd w:val="0"/>
              <w:jc w:val="both"/>
              <w:rPr>
                <w:color w:val="000000"/>
                <w:sz w:val="18"/>
                <w:szCs w:val="18"/>
              </w:rPr>
            </w:pPr>
            <w:r>
              <w:rPr>
                <w:color w:val="000000"/>
                <w:sz w:val="18"/>
                <w:szCs w:val="18"/>
              </w:rPr>
              <w:t>This opinion applies to all appeals listed in Appendix A, attached.</w:t>
            </w:r>
          </w:p>
          <w:p w14:paraId="7B87337A" w14:textId="77777777" w:rsidR="00793DC4" w:rsidRDefault="00793DC4">
            <w:pPr>
              <w:widowControl w:val="0"/>
              <w:autoSpaceDE w:val="0"/>
              <w:autoSpaceDN w:val="0"/>
              <w:adjustRightInd w:val="0"/>
              <w:jc w:val="both"/>
              <w:rPr>
                <w:color w:val="000000"/>
                <w:sz w:val="18"/>
                <w:szCs w:val="18"/>
              </w:rPr>
            </w:pPr>
          </w:p>
        </w:tc>
      </w:tr>
    </w:tbl>
    <w:p w14:paraId="73D126E0" w14:textId="77777777" w:rsidR="00793DC4" w:rsidRDefault="00793DC4">
      <w:pPr>
        <w:widowControl w:val="0"/>
        <w:autoSpaceDE w:val="0"/>
        <w:autoSpaceDN w:val="0"/>
        <w:adjustRightInd w:val="0"/>
        <w:jc w:val="both"/>
        <w:rPr>
          <w:color w:val="000000"/>
        </w:rPr>
      </w:pPr>
    </w:p>
    <w:p w14:paraId="39CD4654" w14:textId="77777777" w:rsidR="00793DC4" w:rsidRDefault="00793DC4">
      <w:pPr>
        <w:widowControl w:val="0"/>
        <w:autoSpaceDE w:val="0"/>
        <w:autoSpaceDN w:val="0"/>
        <w:adjustRightInd w:val="0"/>
        <w:spacing w:before="400"/>
        <w:jc w:val="both"/>
        <w:rPr>
          <w:b/>
          <w:bCs/>
          <w:color w:val="212121"/>
        </w:rPr>
      </w:pPr>
      <w:r>
        <w:rPr>
          <w:b/>
          <w:bCs/>
          <w:color w:val="212121"/>
        </w:rPr>
        <w:t>Synopsis</w:t>
      </w:r>
    </w:p>
    <w:p w14:paraId="130FCE2C" w14:textId="77777777" w:rsidR="00793DC4" w:rsidRDefault="00793DC4">
      <w:pPr>
        <w:widowControl w:val="0"/>
        <w:autoSpaceDE w:val="0"/>
        <w:autoSpaceDN w:val="0"/>
        <w:adjustRightInd w:val="0"/>
        <w:jc w:val="both"/>
        <w:rPr>
          <w:color w:val="000000"/>
        </w:rPr>
      </w:pPr>
      <w:r>
        <w:rPr>
          <w:b/>
          <w:bCs/>
          <w:color w:val="000000"/>
        </w:rPr>
        <w:t>Background:</w:t>
      </w:r>
      <w:r>
        <w:rPr>
          <w:color w:val="000000"/>
        </w:rPr>
        <w:t xml:space="preserve"> Consumers brought separate products liability actions against drug manufacturer, asserting state-law failure-to-warn claims alleging that manufacturer failed to add an adequate warning of risk of atypical femur fractures to FDA-approved label for its osteoporosis drug. Actions were consolidated for pretrial administration in a multidistrict litigation. The United States District Court for the District of New Jersey, Nos. 3:08-cv-00008-FLW et al., MDL No. 2243, </w:t>
      </w:r>
      <w:hyperlink r:id="rId13" w:history="1">
        <w:r>
          <w:rPr>
            <w:color w:val="000000"/>
          </w:rPr>
          <w:t>Joel A. Pisano</w:t>
        </w:r>
      </w:hyperlink>
      <w:r>
        <w:rPr>
          <w:color w:val="000000"/>
        </w:rPr>
        <w:t xml:space="preserve">, J., </w:t>
      </w:r>
      <w:hyperlink r:id="rId14" w:history="1">
        <w:r>
          <w:rPr>
            <w:color w:val="000000"/>
          </w:rPr>
          <w:t>2014 WL 1266994</w:t>
        </w:r>
      </w:hyperlink>
      <w:r>
        <w:rPr>
          <w:color w:val="000000"/>
        </w:rPr>
        <w:t>, entered summary judgment for manufacturer, and consumers appealed.</w:t>
      </w:r>
    </w:p>
    <w:p w14:paraId="606536AA" w14:textId="77777777" w:rsidR="00793DC4" w:rsidRDefault="00793DC4">
      <w:pPr>
        <w:widowControl w:val="0"/>
        <w:autoSpaceDE w:val="0"/>
        <w:autoSpaceDN w:val="0"/>
        <w:adjustRightInd w:val="0"/>
        <w:jc w:val="both"/>
        <w:rPr>
          <w:color w:val="000000"/>
        </w:rPr>
      </w:pPr>
      <w:r>
        <w:rPr>
          <w:color w:val="000000"/>
        </w:rPr>
        <w:t> </w:t>
      </w:r>
    </w:p>
    <w:p w14:paraId="25EEF8F1" w14:textId="77777777" w:rsidR="00793DC4" w:rsidRDefault="00793DC4">
      <w:pPr>
        <w:widowControl w:val="0"/>
        <w:autoSpaceDE w:val="0"/>
        <w:autoSpaceDN w:val="0"/>
        <w:adjustRightInd w:val="0"/>
        <w:spacing w:before="400"/>
        <w:jc w:val="both"/>
        <w:rPr>
          <w:color w:val="000000"/>
        </w:rPr>
      </w:pPr>
      <w:r>
        <w:rPr>
          <w:b/>
          <w:bCs/>
          <w:color w:val="000000"/>
        </w:rPr>
        <w:t>Holdings:</w:t>
      </w:r>
      <w:r>
        <w:rPr>
          <w:color w:val="000000"/>
        </w:rPr>
        <w:t xml:space="preserve"> The Court of Appeals, </w:t>
      </w:r>
      <w:hyperlink r:id="rId15" w:history="1">
        <w:r>
          <w:rPr>
            <w:color w:val="000000"/>
          </w:rPr>
          <w:t>Fuentes</w:t>
        </w:r>
      </w:hyperlink>
      <w:r>
        <w:rPr>
          <w:color w:val="000000"/>
        </w:rPr>
        <w:t>, Circuit Judge, held that:</w:t>
      </w:r>
    </w:p>
    <w:p w14:paraId="5BD0FF94" w14:textId="77777777" w:rsidR="00793DC4" w:rsidRDefault="00793DC4">
      <w:pPr>
        <w:widowControl w:val="0"/>
        <w:autoSpaceDE w:val="0"/>
        <w:autoSpaceDN w:val="0"/>
        <w:adjustRightInd w:val="0"/>
        <w:jc w:val="both"/>
        <w:rPr>
          <w:color w:val="000000"/>
        </w:rPr>
      </w:pPr>
      <w:r>
        <w:rPr>
          <w:color w:val="000000"/>
        </w:rPr>
        <w:t> </w:t>
      </w:r>
    </w:p>
    <w:p w14:paraId="7BE9BC49" w14:textId="77777777" w:rsidR="00793DC4" w:rsidRDefault="00793DC4">
      <w:pPr>
        <w:widowControl w:val="0"/>
        <w:autoSpaceDE w:val="0"/>
        <w:autoSpaceDN w:val="0"/>
        <w:adjustRightInd w:val="0"/>
        <w:jc w:val="both"/>
        <w:rPr>
          <w:color w:val="000000"/>
        </w:rPr>
      </w:pPr>
      <w:hyperlink r:id="rId16" w:history="1">
        <w:r>
          <w:rPr>
            <w:color w:val="000000"/>
            <w:vertAlign w:val="superscript"/>
          </w:rPr>
          <w:t>[1]</w:t>
        </w:r>
      </w:hyperlink>
      <w:r>
        <w:rPr>
          <w:color w:val="000000"/>
        </w:rPr>
        <w:t xml:space="preserve"> </w:t>
      </w:r>
      <w:proofErr w:type="gramStart"/>
      <w:r>
        <w:rPr>
          <w:color w:val="000000"/>
        </w:rPr>
        <w:t>for</w:t>
      </w:r>
      <w:proofErr w:type="gramEnd"/>
      <w:r>
        <w:rPr>
          <w:color w:val="000000"/>
        </w:rPr>
        <w:t xml:space="preserve"> a manufacturer to establish an impossibility preemption defense, </w:t>
      </w:r>
      <w:proofErr w:type="spellStart"/>
      <w:r>
        <w:rPr>
          <w:color w:val="000000"/>
        </w:rPr>
        <w:t>factfinder</w:t>
      </w:r>
      <w:proofErr w:type="spellEnd"/>
      <w:r>
        <w:rPr>
          <w:color w:val="000000"/>
        </w:rPr>
        <w:t xml:space="preserve"> must conclude that it was highly probable that Food and Drug Administration (FDA) would not have approved a label change;</w:t>
      </w:r>
    </w:p>
    <w:p w14:paraId="50E92F75" w14:textId="77777777" w:rsidR="00793DC4" w:rsidRDefault="00793DC4">
      <w:pPr>
        <w:widowControl w:val="0"/>
        <w:autoSpaceDE w:val="0"/>
        <w:autoSpaceDN w:val="0"/>
        <w:adjustRightInd w:val="0"/>
        <w:jc w:val="both"/>
        <w:rPr>
          <w:color w:val="000000"/>
        </w:rPr>
      </w:pPr>
      <w:r>
        <w:rPr>
          <w:color w:val="000000"/>
        </w:rPr>
        <w:t> </w:t>
      </w:r>
    </w:p>
    <w:p w14:paraId="1CCE8DEC" w14:textId="77777777" w:rsidR="00793DC4" w:rsidRDefault="00793DC4">
      <w:pPr>
        <w:widowControl w:val="0"/>
        <w:autoSpaceDE w:val="0"/>
        <w:autoSpaceDN w:val="0"/>
        <w:adjustRightInd w:val="0"/>
        <w:jc w:val="both"/>
        <w:rPr>
          <w:color w:val="000000"/>
        </w:rPr>
      </w:pPr>
      <w:hyperlink r:id="rId17" w:history="1">
        <w:r>
          <w:rPr>
            <w:color w:val="000000"/>
            <w:vertAlign w:val="superscript"/>
          </w:rPr>
          <w:t>[2]</w:t>
        </w:r>
      </w:hyperlink>
      <w:r>
        <w:rPr>
          <w:color w:val="000000"/>
        </w:rPr>
        <w:t xml:space="preserve"> </w:t>
      </w:r>
      <w:proofErr w:type="gramStart"/>
      <w:r>
        <w:rPr>
          <w:color w:val="000000"/>
        </w:rPr>
        <w:t>whether</w:t>
      </w:r>
      <w:proofErr w:type="gramEnd"/>
      <w:r>
        <w:rPr>
          <w:color w:val="000000"/>
        </w:rPr>
        <w:t xml:space="preserve"> FDA would have rejected a proposed drug label change is a question of fact for jury; and</w:t>
      </w:r>
    </w:p>
    <w:p w14:paraId="3B275839" w14:textId="77777777" w:rsidR="00793DC4" w:rsidRDefault="00793DC4">
      <w:pPr>
        <w:widowControl w:val="0"/>
        <w:autoSpaceDE w:val="0"/>
        <w:autoSpaceDN w:val="0"/>
        <w:adjustRightInd w:val="0"/>
        <w:jc w:val="both"/>
        <w:rPr>
          <w:color w:val="000000"/>
        </w:rPr>
      </w:pPr>
      <w:r>
        <w:rPr>
          <w:color w:val="000000"/>
        </w:rPr>
        <w:t> </w:t>
      </w:r>
    </w:p>
    <w:p w14:paraId="6F70531A" w14:textId="77777777" w:rsidR="00793DC4" w:rsidRDefault="00793DC4">
      <w:pPr>
        <w:widowControl w:val="0"/>
        <w:autoSpaceDE w:val="0"/>
        <w:autoSpaceDN w:val="0"/>
        <w:adjustRightInd w:val="0"/>
        <w:jc w:val="both"/>
        <w:rPr>
          <w:color w:val="000000"/>
        </w:rPr>
      </w:pPr>
      <w:hyperlink r:id="rId18" w:history="1">
        <w:r>
          <w:rPr>
            <w:color w:val="000000"/>
            <w:vertAlign w:val="superscript"/>
          </w:rPr>
          <w:t>[3]</w:t>
        </w:r>
      </w:hyperlink>
      <w:r>
        <w:rPr>
          <w:color w:val="000000"/>
        </w:rPr>
        <w:t xml:space="preserve"> </w:t>
      </w:r>
      <w:proofErr w:type="gramStart"/>
      <w:r>
        <w:rPr>
          <w:color w:val="000000"/>
        </w:rPr>
        <w:t>fact</w:t>
      </w:r>
      <w:proofErr w:type="gramEnd"/>
      <w:r>
        <w:rPr>
          <w:color w:val="000000"/>
        </w:rPr>
        <w:t xml:space="preserve"> issue precluded summary judgment on manufacturer’s impossibility preemption defense.</w:t>
      </w:r>
    </w:p>
    <w:p w14:paraId="433108D4" w14:textId="77777777" w:rsidR="00793DC4" w:rsidRDefault="00793DC4">
      <w:pPr>
        <w:widowControl w:val="0"/>
        <w:autoSpaceDE w:val="0"/>
        <w:autoSpaceDN w:val="0"/>
        <w:adjustRightInd w:val="0"/>
        <w:spacing w:after="200"/>
        <w:jc w:val="both"/>
        <w:rPr>
          <w:color w:val="000000"/>
        </w:rPr>
      </w:pPr>
      <w:r>
        <w:rPr>
          <w:color w:val="000000"/>
        </w:rPr>
        <w:lastRenderedPageBreak/>
        <w:t> </w:t>
      </w:r>
    </w:p>
    <w:p w14:paraId="4B2C7492" w14:textId="77777777" w:rsidR="00793DC4" w:rsidRDefault="00793DC4">
      <w:pPr>
        <w:widowControl w:val="0"/>
        <w:autoSpaceDE w:val="0"/>
        <w:autoSpaceDN w:val="0"/>
        <w:adjustRightInd w:val="0"/>
        <w:jc w:val="both"/>
        <w:rPr>
          <w:color w:val="000000"/>
        </w:rPr>
      </w:pPr>
      <w:r>
        <w:rPr>
          <w:color w:val="000000"/>
        </w:rPr>
        <w:t>Vacated and remanded.</w:t>
      </w:r>
    </w:p>
    <w:p w14:paraId="0380F0CA" w14:textId="77777777" w:rsidR="00793DC4" w:rsidRDefault="00793DC4">
      <w:pPr>
        <w:widowControl w:val="0"/>
        <w:autoSpaceDE w:val="0"/>
        <w:autoSpaceDN w:val="0"/>
        <w:adjustRightInd w:val="0"/>
        <w:jc w:val="both"/>
        <w:rPr>
          <w:color w:val="000000"/>
        </w:rPr>
      </w:pPr>
      <w:r>
        <w:rPr>
          <w:color w:val="000000"/>
        </w:rPr>
        <w:t> </w:t>
      </w:r>
    </w:p>
    <w:p w14:paraId="04A23081" w14:textId="77777777" w:rsidR="00793DC4" w:rsidRDefault="00793DC4">
      <w:pPr>
        <w:widowControl w:val="0"/>
        <w:autoSpaceDE w:val="0"/>
        <w:autoSpaceDN w:val="0"/>
        <w:adjustRightInd w:val="0"/>
        <w:spacing w:before="200"/>
        <w:jc w:val="both"/>
        <w:rPr>
          <w:color w:val="000000"/>
        </w:rPr>
      </w:pPr>
      <w:r>
        <w:rPr>
          <w:b/>
          <w:bCs/>
          <w:color w:val="000000"/>
        </w:rPr>
        <w:t>*270</w:t>
      </w:r>
      <w:r>
        <w:rPr>
          <w:color w:val="000000"/>
        </w:rPr>
        <w:t xml:space="preserve"> On Appeal from the United States District Court for the District of New Jersey (D.C. Nos. 3:08-cv-00008-FLW </w:t>
      </w:r>
      <w:r>
        <w:rPr>
          <w:i/>
          <w:iCs/>
          <w:color w:val="000000"/>
        </w:rPr>
        <w:t>et al</w:t>
      </w:r>
      <w:r>
        <w:rPr>
          <w:color w:val="000000"/>
        </w:rPr>
        <w:t>., MDL No. 2243) District Judge: Honorable Joel A. Pisano</w:t>
      </w:r>
    </w:p>
    <w:p w14:paraId="5D2B8467" w14:textId="77777777" w:rsidR="00793DC4" w:rsidRDefault="00793DC4">
      <w:pPr>
        <w:widowControl w:val="0"/>
        <w:autoSpaceDE w:val="0"/>
        <w:autoSpaceDN w:val="0"/>
        <w:adjustRightInd w:val="0"/>
        <w:spacing w:before="200" w:after="200"/>
        <w:jc w:val="both"/>
        <w:rPr>
          <w:b/>
          <w:bCs/>
          <w:color w:val="212121"/>
        </w:rPr>
      </w:pPr>
      <w:r>
        <w:rPr>
          <w:b/>
          <w:bCs/>
          <w:color w:val="212121"/>
        </w:rPr>
        <w:t>Attorneys and Law Firms</w:t>
      </w:r>
    </w:p>
    <w:p w14:paraId="69833E74" w14:textId="77777777" w:rsidR="00793DC4" w:rsidRDefault="00793DC4">
      <w:pPr>
        <w:widowControl w:val="0"/>
        <w:autoSpaceDE w:val="0"/>
        <w:autoSpaceDN w:val="0"/>
        <w:adjustRightInd w:val="0"/>
        <w:jc w:val="both"/>
        <w:rPr>
          <w:color w:val="000000"/>
        </w:rPr>
      </w:pPr>
      <w:hyperlink r:id="rId19" w:history="1">
        <w:r>
          <w:rPr>
            <w:color w:val="000000"/>
          </w:rPr>
          <w:t>David C. Frederick</w:t>
        </w:r>
      </w:hyperlink>
      <w:r>
        <w:rPr>
          <w:color w:val="000000"/>
        </w:rPr>
        <w:t xml:space="preserve">, Esq. [Argued], Kellogg Hansen Todd </w:t>
      </w:r>
      <w:proofErr w:type="spellStart"/>
      <w:r>
        <w:rPr>
          <w:color w:val="000000"/>
        </w:rPr>
        <w:t>Figel</w:t>
      </w:r>
      <w:proofErr w:type="spellEnd"/>
      <w:r>
        <w:rPr>
          <w:color w:val="000000"/>
        </w:rPr>
        <w:t xml:space="preserve"> &amp; Frederick, 1615 M Street NW, Suite 400, Washington, DC 20036, </w:t>
      </w:r>
      <w:hyperlink r:id="rId20" w:history="1">
        <w:r>
          <w:rPr>
            <w:color w:val="000000"/>
          </w:rPr>
          <w:t xml:space="preserve">Edward </w:t>
        </w:r>
        <w:proofErr w:type="spellStart"/>
        <w:r>
          <w:rPr>
            <w:color w:val="000000"/>
          </w:rPr>
          <w:t>Braniff</w:t>
        </w:r>
        <w:proofErr w:type="spellEnd"/>
      </w:hyperlink>
      <w:r>
        <w:rPr>
          <w:color w:val="000000"/>
        </w:rPr>
        <w:t xml:space="preserve">, Esq., </w:t>
      </w:r>
      <w:hyperlink r:id="rId21" w:history="1">
        <w:r>
          <w:rPr>
            <w:color w:val="000000"/>
          </w:rPr>
          <w:t>Michael E. Pederson</w:t>
        </w:r>
      </w:hyperlink>
      <w:r>
        <w:rPr>
          <w:color w:val="000000"/>
        </w:rPr>
        <w:t xml:space="preserve">, Esq., </w:t>
      </w:r>
      <w:proofErr w:type="spellStart"/>
      <w:r>
        <w:rPr>
          <w:color w:val="000000"/>
        </w:rPr>
        <w:t>Weitz</w:t>
      </w:r>
      <w:proofErr w:type="spellEnd"/>
      <w:r>
        <w:rPr>
          <w:color w:val="000000"/>
        </w:rPr>
        <w:t xml:space="preserve"> &amp; </w:t>
      </w:r>
      <w:proofErr w:type="spellStart"/>
      <w:r>
        <w:rPr>
          <w:color w:val="000000"/>
        </w:rPr>
        <w:t>Luxenberg</w:t>
      </w:r>
      <w:proofErr w:type="spellEnd"/>
      <w:r>
        <w:rPr>
          <w:color w:val="000000"/>
        </w:rPr>
        <w:t xml:space="preserve">, 700 Broadway, New York, NY 10003, </w:t>
      </w:r>
      <w:hyperlink r:id="rId22" w:history="1">
        <w:r>
          <w:rPr>
            <w:color w:val="000000"/>
          </w:rPr>
          <w:t xml:space="preserve">Donald A. </w:t>
        </w:r>
        <w:proofErr w:type="spellStart"/>
        <w:r>
          <w:rPr>
            <w:color w:val="000000"/>
          </w:rPr>
          <w:t>Ecklund</w:t>
        </w:r>
        <w:proofErr w:type="spellEnd"/>
      </w:hyperlink>
      <w:r>
        <w:rPr>
          <w:color w:val="000000"/>
        </w:rPr>
        <w:t xml:space="preserve">, Esq., </w:t>
      </w:r>
      <w:proofErr w:type="spellStart"/>
      <w:r>
        <w:rPr>
          <w:color w:val="000000"/>
        </w:rPr>
        <w:t>Carella</w:t>
      </w:r>
      <w:proofErr w:type="spellEnd"/>
      <w:r>
        <w:rPr>
          <w:color w:val="000000"/>
        </w:rPr>
        <w:t xml:space="preserve"> Byrne </w:t>
      </w:r>
      <w:proofErr w:type="spellStart"/>
      <w:r>
        <w:rPr>
          <w:color w:val="000000"/>
        </w:rPr>
        <w:t>Cecchi</w:t>
      </w:r>
      <w:proofErr w:type="spellEnd"/>
      <w:r>
        <w:rPr>
          <w:color w:val="000000"/>
        </w:rPr>
        <w:t xml:space="preserve"> </w:t>
      </w:r>
      <w:proofErr w:type="spellStart"/>
      <w:r>
        <w:rPr>
          <w:color w:val="000000"/>
        </w:rPr>
        <w:t>Olstein</w:t>
      </w:r>
      <w:proofErr w:type="spellEnd"/>
      <w:r>
        <w:rPr>
          <w:color w:val="000000"/>
        </w:rPr>
        <w:t xml:space="preserve"> Brody &amp; </w:t>
      </w:r>
      <w:proofErr w:type="spellStart"/>
      <w:r>
        <w:rPr>
          <w:color w:val="000000"/>
        </w:rPr>
        <w:t>Agnello</w:t>
      </w:r>
      <w:proofErr w:type="spellEnd"/>
      <w:r>
        <w:rPr>
          <w:color w:val="000000"/>
        </w:rPr>
        <w:t>, 5 Becker Farm Road, Roseland, NJ 07068, Counsel for Appellant</w:t>
      </w:r>
    </w:p>
    <w:p w14:paraId="6AFFDC94" w14:textId="77777777" w:rsidR="00793DC4" w:rsidRDefault="00793DC4">
      <w:pPr>
        <w:widowControl w:val="0"/>
        <w:autoSpaceDE w:val="0"/>
        <w:autoSpaceDN w:val="0"/>
        <w:adjustRightInd w:val="0"/>
        <w:spacing w:before="200"/>
        <w:jc w:val="both"/>
        <w:rPr>
          <w:color w:val="000000"/>
        </w:rPr>
      </w:pPr>
      <w:hyperlink r:id="rId23" w:history="1">
        <w:r>
          <w:rPr>
            <w:color w:val="000000"/>
          </w:rPr>
          <w:t xml:space="preserve">John H. </w:t>
        </w:r>
        <w:proofErr w:type="spellStart"/>
        <w:r>
          <w:rPr>
            <w:color w:val="000000"/>
          </w:rPr>
          <w:t>Beisner</w:t>
        </w:r>
        <w:proofErr w:type="spellEnd"/>
      </w:hyperlink>
      <w:r>
        <w:rPr>
          <w:color w:val="000000"/>
        </w:rPr>
        <w:t xml:space="preserve">, Esq. [Argued], </w:t>
      </w:r>
      <w:hyperlink r:id="rId24" w:history="1">
        <w:r>
          <w:rPr>
            <w:color w:val="000000"/>
          </w:rPr>
          <w:t>Jessica D. Miller</w:t>
        </w:r>
      </w:hyperlink>
      <w:r>
        <w:rPr>
          <w:color w:val="000000"/>
        </w:rPr>
        <w:t xml:space="preserve">, Esq., </w:t>
      </w:r>
      <w:hyperlink r:id="rId25" w:history="1">
        <w:r>
          <w:rPr>
            <w:color w:val="000000"/>
          </w:rPr>
          <w:t>Geoffrey M. Wyatt</w:t>
        </w:r>
      </w:hyperlink>
      <w:r>
        <w:rPr>
          <w:color w:val="000000"/>
        </w:rPr>
        <w:t xml:space="preserve">, Esq., </w:t>
      </w:r>
      <w:proofErr w:type="spellStart"/>
      <w:r>
        <w:rPr>
          <w:color w:val="000000"/>
        </w:rPr>
        <w:t>Skadden</w:t>
      </w:r>
      <w:proofErr w:type="spellEnd"/>
      <w:r>
        <w:rPr>
          <w:color w:val="000000"/>
        </w:rPr>
        <w:t xml:space="preserve"> </w:t>
      </w:r>
      <w:proofErr w:type="spellStart"/>
      <w:r>
        <w:rPr>
          <w:color w:val="000000"/>
        </w:rPr>
        <w:t>Arps</w:t>
      </w:r>
      <w:proofErr w:type="spellEnd"/>
      <w:r>
        <w:rPr>
          <w:color w:val="000000"/>
        </w:rPr>
        <w:t xml:space="preserve"> Slate Meagher &amp; </w:t>
      </w:r>
      <w:proofErr w:type="spellStart"/>
      <w:r>
        <w:rPr>
          <w:color w:val="000000"/>
        </w:rPr>
        <w:t>Flom</w:t>
      </w:r>
      <w:proofErr w:type="spellEnd"/>
      <w:r>
        <w:rPr>
          <w:color w:val="000000"/>
        </w:rPr>
        <w:t xml:space="preserve">, 1440 New York Avenue N.W., Washington, D.C. 20005, </w:t>
      </w:r>
      <w:hyperlink r:id="rId26" w:history="1">
        <w:r>
          <w:rPr>
            <w:color w:val="000000"/>
          </w:rPr>
          <w:t xml:space="preserve">Andrew T. </w:t>
        </w:r>
        <w:proofErr w:type="spellStart"/>
        <w:r>
          <w:rPr>
            <w:color w:val="000000"/>
          </w:rPr>
          <w:t>Bayman</w:t>
        </w:r>
        <w:proofErr w:type="spellEnd"/>
      </w:hyperlink>
      <w:r>
        <w:rPr>
          <w:color w:val="000000"/>
        </w:rPr>
        <w:t xml:space="preserve">, Esq., </w:t>
      </w:r>
      <w:hyperlink r:id="rId27" w:history="1">
        <w:r>
          <w:rPr>
            <w:color w:val="000000"/>
          </w:rPr>
          <w:t>Chilton D. Varner</w:t>
        </w:r>
      </w:hyperlink>
      <w:r>
        <w:rPr>
          <w:color w:val="000000"/>
        </w:rPr>
        <w:t xml:space="preserve">, Esq., King &amp; Spalding, 1180 Peachtree Street, N.E., Atlanta, GA 30309, </w:t>
      </w:r>
      <w:hyperlink r:id="rId28" w:history="1">
        <w:r>
          <w:rPr>
            <w:color w:val="000000"/>
          </w:rPr>
          <w:t xml:space="preserve">Karen A. </w:t>
        </w:r>
        <w:proofErr w:type="spellStart"/>
        <w:r>
          <w:rPr>
            <w:color w:val="000000"/>
          </w:rPr>
          <w:t>Confoy</w:t>
        </w:r>
        <w:proofErr w:type="spellEnd"/>
      </w:hyperlink>
      <w:r>
        <w:rPr>
          <w:color w:val="000000"/>
        </w:rPr>
        <w:t xml:space="preserve">, Esq., Fox Rothschild, 997 Lenox Drive, Princeton Pike Corporate Center, Building 3, Lawrenceville, </w:t>
      </w:r>
      <w:r>
        <w:rPr>
          <w:b/>
          <w:bCs/>
          <w:color w:val="000000"/>
        </w:rPr>
        <w:t>*271</w:t>
      </w:r>
      <w:r>
        <w:rPr>
          <w:color w:val="000000"/>
        </w:rPr>
        <w:t xml:space="preserve"> NJ 08648, </w:t>
      </w:r>
      <w:hyperlink r:id="rId29" w:history="1">
        <w:r>
          <w:rPr>
            <w:color w:val="000000"/>
          </w:rPr>
          <w:t xml:space="preserve">Wilfred P. </w:t>
        </w:r>
        <w:proofErr w:type="spellStart"/>
        <w:r>
          <w:rPr>
            <w:color w:val="000000"/>
          </w:rPr>
          <w:t>Coronato</w:t>
        </w:r>
        <w:proofErr w:type="spellEnd"/>
      </w:hyperlink>
      <w:r>
        <w:rPr>
          <w:color w:val="000000"/>
        </w:rPr>
        <w:t xml:space="preserve">, Esq., Hughes Hubbard &amp; Reed, 101 Hudson Street, Suite 3601, Jersey City, NJ 07302, </w:t>
      </w:r>
      <w:hyperlink r:id="rId30" w:history="1">
        <w:r>
          <w:rPr>
            <w:color w:val="000000"/>
          </w:rPr>
          <w:t xml:space="preserve">David J. </w:t>
        </w:r>
        <w:proofErr w:type="spellStart"/>
        <w:r>
          <w:rPr>
            <w:color w:val="000000"/>
          </w:rPr>
          <w:t>Heubeck</w:t>
        </w:r>
        <w:proofErr w:type="spellEnd"/>
      </w:hyperlink>
      <w:r>
        <w:rPr>
          <w:color w:val="000000"/>
        </w:rPr>
        <w:t xml:space="preserve">, Esq., </w:t>
      </w:r>
      <w:hyperlink r:id="rId31" w:history="1">
        <w:r>
          <w:rPr>
            <w:color w:val="000000"/>
          </w:rPr>
          <w:t>Stephen E. Marshall</w:t>
        </w:r>
      </w:hyperlink>
      <w:r>
        <w:rPr>
          <w:color w:val="000000"/>
        </w:rPr>
        <w:t xml:space="preserve">, Esq., </w:t>
      </w:r>
      <w:hyperlink r:id="rId32" w:history="1">
        <w:r>
          <w:rPr>
            <w:color w:val="000000"/>
          </w:rPr>
          <w:t>Paul F. Strain</w:t>
        </w:r>
      </w:hyperlink>
      <w:r>
        <w:rPr>
          <w:color w:val="000000"/>
        </w:rPr>
        <w:t>, Esq., Venable, 750 East Pratt Street, Suite 900, Baltimore, MD 21202, Counsel for Appellee</w:t>
      </w:r>
    </w:p>
    <w:p w14:paraId="74BDFDF1" w14:textId="77777777" w:rsidR="00793DC4" w:rsidRDefault="00793DC4">
      <w:pPr>
        <w:widowControl w:val="0"/>
        <w:autoSpaceDE w:val="0"/>
        <w:autoSpaceDN w:val="0"/>
        <w:adjustRightInd w:val="0"/>
        <w:spacing w:before="200"/>
        <w:jc w:val="both"/>
        <w:rPr>
          <w:color w:val="000000"/>
        </w:rPr>
      </w:pPr>
      <w:hyperlink r:id="rId33" w:history="1">
        <w:r>
          <w:rPr>
            <w:color w:val="000000"/>
          </w:rPr>
          <w:t>Todd N. Hutchison</w:t>
        </w:r>
      </w:hyperlink>
      <w:r>
        <w:rPr>
          <w:color w:val="000000"/>
        </w:rPr>
        <w:t xml:space="preserve">, Esq., </w:t>
      </w:r>
      <w:hyperlink r:id="rId34" w:history="1">
        <w:r>
          <w:rPr>
            <w:color w:val="000000"/>
          </w:rPr>
          <w:t>Alfred W. Putnam, Jr.</w:t>
        </w:r>
      </w:hyperlink>
      <w:r>
        <w:rPr>
          <w:color w:val="000000"/>
        </w:rPr>
        <w:t xml:space="preserve">, Esq., </w:t>
      </w:r>
      <w:hyperlink r:id="rId35" w:history="1">
        <w:r>
          <w:rPr>
            <w:color w:val="000000"/>
          </w:rPr>
          <w:t xml:space="preserve">Carol F. </w:t>
        </w:r>
        <w:proofErr w:type="spellStart"/>
        <w:r>
          <w:rPr>
            <w:color w:val="000000"/>
          </w:rPr>
          <w:t>Trevey</w:t>
        </w:r>
        <w:proofErr w:type="spellEnd"/>
      </w:hyperlink>
      <w:r>
        <w:rPr>
          <w:color w:val="000000"/>
        </w:rPr>
        <w:t xml:space="preserve">, Esq., Drinker Biddle &amp; </w:t>
      </w:r>
      <w:proofErr w:type="spellStart"/>
      <w:r>
        <w:rPr>
          <w:color w:val="000000"/>
        </w:rPr>
        <w:t>Reath</w:t>
      </w:r>
      <w:proofErr w:type="spellEnd"/>
      <w:r>
        <w:rPr>
          <w:color w:val="000000"/>
        </w:rPr>
        <w:t>, 18</w:t>
      </w:r>
      <w:r>
        <w:rPr>
          <w:color w:val="000000"/>
          <w:sz w:val="16"/>
          <w:szCs w:val="16"/>
          <w:vertAlign w:val="superscript"/>
        </w:rPr>
        <w:t>th</w:t>
      </w:r>
      <w:r>
        <w:rPr>
          <w:color w:val="000000"/>
        </w:rPr>
        <w:t xml:space="preserve"> &amp; Cherry Streets, One Logan Square, Suite 2000, Philadelphia, PA 19103, Counsel for Amicus Curiae Pharmaceutical Research and Manufacturers of America</w:t>
      </w:r>
    </w:p>
    <w:p w14:paraId="37C40136" w14:textId="77777777" w:rsidR="00793DC4" w:rsidRDefault="00793DC4">
      <w:pPr>
        <w:widowControl w:val="0"/>
        <w:autoSpaceDE w:val="0"/>
        <w:autoSpaceDN w:val="0"/>
        <w:adjustRightInd w:val="0"/>
        <w:spacing w:before="200"/>
        <w:jc w:val="both"/>
        <w:rPr>
          <w:color w:val="000000"/>
        </w:rPr>
      </w:pPr>
      <w:r>
        <w:rPr>
          <w:color w:val="000000"/>
        </w:rPr>
        <w:t xml:space="preserve">Before: </w:t>
      </w:r>
      <w:hyperlink r:id="rId36" w:history="1">
        <w:r>
          <w:rPr>
            <w:color w:val="000000"/>
          </w:rPr>
          <w:t>FUENTES</w:t>
        </w:r>
      </w:hyperlink>
      <w:r>
        <w:rPr>
          <w:color w:val="000000"/>
        </w:rPr>
        <w:t xml:space="preserve">, </w:t>
      </w:r>
      <w:hyperlink r:id="rId37" w:history="1">
        <w:r>
          <w:rPr>
            <w:color w:val="000000"/>
          </w:rPr>
          <w:t>CHAGARES</w:t>
        </w:r>
      </w:hyperlink>
      <w:r>
        <w:rPr>
          <w:color w:val="000000"/>
        </w:rPr>
        <w:t xml:space="preserve">, and </w:t>
      </w:r>
      <w:hyperlink r:id="rId38" w:history="1">
        <w:r>
          <w:rPr>
            <w:color w:val="000000"/>
          </w:rPr>
          <w:t>RESTREPO</w:t>
        </w:r>
      </w:hyperlink>
      <w:r>
        <w:rPr>
          <w:color w:val="000000"/>
        </w:rPr>
        <w:t>, Circuit Judges</w:t>
      </w:r>
    </w:p>
    <w:p w14:paraId="756F356D" w14:textId="77777777" w:rsidR="00793DC4" w:rsidRDefault="00793DC4">
      <w:pPr>
        <w:widowControl w:val="0"/>
        <w:autoSpaceDE w:val="0"/>
        <w:autoSpaceDN w:val="0"/>
        <w:adjustRightInd w:val="0"/>
        <w:spacing w:before="400" w:after="200"/>
        <w:jc w:val="center"/>
        <w:rPr>
          <w:color w:val="000000"/>
        </w:rPr>
      </w:pPr>
      <w:r>
        <w:rPr>
          <w:color w:val="000000"/>
        </w:rPr>
        <w:t>OPINION OF THE COURT</w:t>
      </w:r>
    </w:p>
    <w:p w14:paraId="46619B5F" w14:textId="77777777" w:rsidR="00793DC4" w:rsidRDefault="00793DC4">
      <w:pPr>
        <w:widowControl w:val="0"/>
        <w:autoSpaceDE w:val="0"/>
        <w:autoSpaceDN w:val="0"/>
        <w:adjustRightInd w:val="0"/>
        <w:spacing w:before="200" w:after="200"/>
        <w:jc w:val="both"/>
        <w:rPr>
          <w:color w:val="000000"/>
        </w:rPr>
      </w:pPr>
      <w:hyperlink r:id="rId39" w:history="1">
        <w:r>
          <w:rPr>
            <w:color w:val="000000"/>
          </w:rPr>
          <w:t>FUENTES</w:t>
        </w:r>
      </w:hyperlink>
      <w:r>
        <w:rPr>
          <w:color w:val="000000"/>
        </w:rPr>
        <w:t>, Circuit Judge.</w:t>
      </w:r>
    </w:p>
    <w:p w14:paraId="29926042" w14:textId="77777777" w:rsidR="00793DC4" w:rsidRDefault="00793DC4">
      <w:pPr>
        <w:widowControl w:val="0"/>
        <w:autoSpaceDE w:val="0"/>
        <w:autoSpaceDN w:val="0"/>
        <w:adjustRightInd w:val="0"/>
        <w:jc w:val="both"/>
        <w:rPr>
          <w:color w:val="000000"/>
        </w:rPr>
      </w:pPr>
      <w:r>
        <w:rPr>
          <w:color w:val="000000"/>
        </w:rPr>
        <w:t xml:space="preserve">Beginning in 2010, hundreds of plaintiffs filed personal-injury suits against the drug manufacturer Merck Sharp &amp; </w:t>
      </w:r>
      <w:proofErr w:type="spellStart"/>
      <w:r>
        <w:rPr>
          <w:color w:val="000000"/>
        </w:rPr>
        <w:t>Dohme</w:t>
      </w:r>
      <w:proofErr w:type="spellEnd"/>
      <w:r>
        <w:rPr>
          <w:color w:val="000000"/>
        </w:rPr>
        <w:t xml:space="preserve">, alleging that the </w:t>
      </w:r>
      <w:hyperlink r:id="rId40" w:history="1">
        <w:r>
          <w:rPr>
            <w:color w:val="000000"/>
          </w:rPr>
          <w:t>osteoporosis</w:t>
        </w:r>
      </w:hyperlink>
      <w:r>
        <w:rPr>
          <w:color w:val="000000"/>
        </w:rPr>
        <w:t xml:space="preserve"> drug </w:t>
      </w:r>
      <w:hyperlink r:id="rId41" w:history="1">
        <w:r>
          <w:rPr>
            <w:color w:val="000000"/>
          </w:rPr>
          <w:t>Fosamax</w:t>
        </w:r>
      </w:hyperlink>
      <w:r>
        <w:rPr>
          <w:color w:val="000000"/>
        </w:rPr>
        <w:t xml:space="preserve"> </w:t>
      </w:r>
      <w:r>
        <w:rPr>
          <w:color w:val="000000"/>
        </w:rPr>
        <w:lastRenderedPageBreak/>
        <w:t xml:space="preserve">caused them to suffer serious thigh bone fractures. Each Plaintiff brought a state-law tort claim alleging that Merck failed to add an adequate warning of the risk of </w:t>
      </w:r>
      <w:hyperlink r:id="rId42" w:history="1">
        <w:r>
          <w:rPr>
            <w:color w:val="000000"/>
          </w:rPr>
          <w:t>thigh fractures</w:t>
        </w:r>
      </w:hyperlink>
      <w:r>
        <w:rPr>
          <w:color w:val="000000"/>
        </w:rPr>
        <w:t xml:space="preserve"> to </w:t>
      </w:r>
      <w:hyperlink r:id="rId43" w:history="1">
        <w:r>
          <w:rPr>
            <w:color w:val="000000"/>
          </w:rPr>
          <w:t>Fosamax</w:t>
        </w:r>
      </w:hyperlink>
      <w:r>
        <w:rPr>
          <w:color w:val="000000"/>
        </w:rPr>
        <w:t>’s FDA-approved drug label. Many Plaintiffs also brought a variety of additional claims including defective design, negligence, and breach of warranty.</w:t>
      </w:r>
    </w:p>
    <w:p w14:paraId="6F838829" w14:textId="77777777" w:rsidR="00793DC4" w:rsidRDefault="00793DC4">
      <w:pPr>
        <w:widowControl w:val="0"/>
        <w:autoSpaceDE w:val="0"/>
        <w:autoSpaceDN w:val="0"/>
        <w:adjustRightInd w:val="0"/>
        <w:jc w:val="both"/>
        <w:rPr>
          <w:color w:val="000000"/>
        </w:rPr>
      </w:pPr>
      <w:r>
        <w:rPr>
          <w:color w:val="000000"/>
        </w:rPr>
        <w:t> </w:t>
      </w:r>
    </w:p>
    <w:p w14:paraId="240B71FA" w14:textId="77777777" w:rsidR="00793DC4" w:rsidRDefault="00793DC4">
      <w:pPr>
        <w:widowControl w:val="0"/>
        <w:autoSpaceDE w:val="0"/>
        <w:autoSpaceDN w:val="0"/>
        <w:adjustRightInd w:val="0"/>
        <w:jc w:val="both"/>
        <w:rPr>
          <w:color w:val="000000"/>
        </w:rPr>
      </w:pPr>
      <w:r>
        <w:rPr>
          <w:color w:val="000000"/>
        </w:rPr>
        <w:t xml:space="preserve">Plaintiffs’ suits were consolidated for pretrial administration in a multi-district litigation in the District of New Jersey. </w:t>
      </w:r>
      <w:r w:rsidRPr="00793DC4">
        <w:rPr>
          <w:color w:val="000000"/>
          <w:highlight w:val="yellow"/>
        </w:rPr>
        <w:t xml:space="preserve">Following discovery and a bellwether trial, the District Court granted Merck’s motion for summary judgment and dismissed all of Plaintiffs’ claims on the ground that </w:t>
      </w:r>
      <w:proofErr w:type="gramStart"/>
      <w:r w:rsidRPr="00793DC4">
        <w:rPr>
          <w:color w:val="000000"/>
          <w:highlight w:val="yellow"/>
        </w:rPr>
        <w:t>they were preempted by federal law</w:t>
      </w:r>
      <w:proofErr w:type="gramEnd"/>
      <w:r w:rsidRPr="00793DC4">
        <w:rPr>
          <w:color w:val="000000"/>
          <w:highlight w:val="yellow"/>
        </w:rPr>
        <w:t>.</w:t>
      </w:r>
      <w:r>
        <w:rPr>
          <w:color w:val="000000"/>
        </w:rPr>
        <w:t xml:space="preserve"> The District Court based its ruling on the Supreme Court’s decision in </w:t>
      </w:r>
      <w:hyperlink r:id="rId44" w:history="1">
        <w:r>
          <w:rPr>
            <w:i/>
            <w:iCs/>
            <w:color w:val="000000"/>
          </w:rPr>
          <w:t>Wyeth v. Levine</w:t>
        </w:r>
      </w:hyperlink>
      <w:r>
        <w:rPr>
          <w:color w:val="000000"/>
        </w:rPr>
        <w:t>,</w:t>
      </w:r>
      <w:bookmarkStart w:id="2" w:name="co_footnoteReference_B00022041287330_ID0"/>
      <w:bookmarkEnd w:id="2"/>
      <w:r>
        <w:rPr>
          <w:color w:val="000000"/>
          <w:sz w:val="16"/>
          <w:szCs w:val="16"/>
        </w:rPr>
        <w:fldChar w:fldCharType="begin"/>
      </w:r>
      <w:r>
        <w:rPr>
          <w:color w:val="000000"/>
          <w:sz w:val="16"/>
          <w:szCs w:val="16"/>
        </w:rPr>
        <w:instrText xml:space="preserve">HYPERLINK "#co_footnote_B00022041287330_1" </w:instrText>
      </w:r>
      <w:r w:rsidR="00F61700">
        <w:rPr>
          <w:color w:val="000000"/>
          <w:sz w:val="16"/>
          <w:szCs w:val="16"/>
        </w:rPr>
      </w:r>
      <w:r>
        <w:rPr>
          <w:color w:val="000000"/>
          <w:sz w:val="16"/>
          <w:szCs w:val="16"/>
        </w:rPr>
        <w:fldChar w:fldCharType="separate"/>
      </w:r>
      <w:r>
        <w:rPr>
          <w:color w:val="000000"/>
          <w:sz w:val="16"/>
          <w:szCs w:val="16"/>
          <w:vertAlign w:val="superscript"/>
        </w:rPr>
        <w:t>1</w:t>
      </w:r>
      <w:r>
        <w:rPr>
          <w:color w:val="000000"/>
          <w:sz w:val="16"/>
          <w:szCs w:val="16"/>
        </w:rPr>
        <w:fldChar w:fldCharType="end"/>
      </w:r>
      <w:r>
        <w:rPr>
          <w:color w:val="000000"/>
        </w:rPr>
        <w:t xml:space="preserve"> which holds that state-law failure-to-warn claims are preempted when there is “clear evidence” that the FDA would not have approved the warning that a plaintiff claims was necessary.</w:t>
      </w:r>
    </w:p>
    <w:p w14:paraId="662038A5"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78EA1491" w14:textId="77777777">
        <w:tblPrEx>
          <w:tblCellMar>
            <w:top w:w="0" w:type="dxa"/>
            <w:left w:w="0" w:type="dxa"/>
            <w:bottom w:w="0" w:type="dxa"/>
            <w:right w:w="0" w:type="dxa"/>
          </w:tblCellMar>
        </w:tblPrEx>
        <w:tc>
          <w:tcPr>
            <w:tcW w:w="600" w:type="dxa"/>
            <w:tcBorders>
              <w:top w:val="nil"/>
              <w:left w:val="nil"/>
              <w:bottom w:val="nil"/>
              <w:right w:val="nil"/>
            </w:tcBorders>
          </w:tcPr>
          <w:bookmarkStart w:id="3" w:name="co_footnote_B00022041287330_1"/>
          <w:bookmarkEnd w:id="3"/>
          <w:p w14:paraId="7D29EDF3"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"#co_footnoteReference_B00022041287330_ID0" </w:instrText>
            </w:r>
            <w:r w:rsidR="00F61700">
              <w:rPr>
                <w:color w:val="000000"/>
              </w:rPr>
            </w:r>
            <w:r>
              <w:rPr>
                <w:color w:val="000000"/>
              </w:rPr>
              <w:fldChar w:fldCharType="separate"/>
            </w:r>
            <w:r>
              <w:rPr>
                <w:color w:val="000000"/>
                <w:vertAlign w:val="superscript"/>
              </w:rPr>
              <w:t>1</w:t>
            </w:r>
            <w:r>
              <w:rPr>
                <w:color w:val="000000"/>
              </w:rPr>
              <w:fldChar w:fldCharType="end"/>
            </w:r>
          </w:p>
          <w:p w14:paraId="4C9A8594"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5F0353CF" w14:textId="77777777" w:rsidR="00793DC4" w:rsidRDefault="00793DC4">
            <w:pPr>
              <w:widowControl w:val="0"/>
              <w:autoSpaceDE w:val="0"/>
              <w:autoSpaceDN w:val="0"/>
              <w:adjustRightInd w:val="0"/>
              <w:jc w:val="both"/>
              <w:rPr>
                <w:color w:val="000000"/>
                <w:sz w:val="18"/>
                <w:szCs w:val="18"/>
              </w:rPr>
            </w:pPr>
            <w:hyperlink r:id="rId45" w:history="1">
              <w:r>
                <w:rPr>
                  <w:color w:val="000000"/>
                  <w:sz w:val="18"/>
                  <w:szCs w:val="18"/>
                </w:rPr>
                <w:t xml:space="preserve">555 U.S. 555, 129 </w:t>
              </w:r>
              <w:proofErr w:type="spellStart"/>
              <w:r>
                <w:rPr>
                  <w:color w:val="000000"/>
                  <w:sz w:val="18"/>
                  <w:szCs w:val="18"/>
                </w:rPr>
                <w:t>S.Ct</w:t>
              </w:r>
              <w:proofErr w:type="spellEnd"/>
              <w:r>
                <w:rPr>
                  <w:color w:val="000000"/>
                  <w:sz w:val="18"/>
                  <w:szCs w:val="18"/>
                </w:rPr>
                <w:t>. 1187, 173 L.Ed.2d 51 (2009)</w:t>
              </w:r>
            </w:hyperlink>
            <w:r>
              <w:rPr>
                <w:color w:val="000000"/>
                <w:sz w:val="18"/>
                <w:szCs w:val="18"/>
              </w:rPr>
              <w:t>.</w:t>
            </w:r>
          </w:p>
          <w:p w14:paraId="1DB30C42" w14:textId="77777777" w:rsidR="00793DC4" w:rsidRDefault="00793DC4">
            <w:pPr>
              <w:widowControl w:val="0"/>
              <w:autoSpaceDE w:val="0"/>
              <w:autoSpaceDN w:val="0"/>
              <w:adjustRightInd w:val="0"/>
              <w:jc w:val="both"/>
              <w:rPr>
                <w:color w:val="000000"/>
                <w:sz w:val="18"/>
                <w:szCs w:val="18"/>
              </w:rPr>
            </w:pPr>
          </w:p>
        </w:tc>
      </w:tr>
    </w:tbl>
    <w:p w14:paraId="472401A6" w14:textId="77777777" w:rsidR="00793DC4" w:rsidRDefault="00793DC4">
      <w:pPr>
        <w:widowControl w:val="0"/>
        <w:autoSpaceDE w:val="0"/>
        <w:autoSpaceDN w:val="0"/>
        <w:adjustRightInd w:val="0"/>
        <w:jc w:val="both"/>
        <w:rPr>
          <w:color w:val="000000"/>
        </w:rPr>
      </w:pPr>
    </w:p>
    <w:p w14:paraId="4B602AA0" w14:textId="77777777" w:rsidR="00793DC4" w:rsidRDefault="00793DC4">
      <w:pPr>
        <w:widowControl w:val="0"/>
        <w:autoSpaceDE w:val="0"/>
        <w:autoSpaceDN w:val="0"/>
        <w:adjustRightInd w:val="0"/>
        <w:jc w:val="both"/>
        <w:rPr>
          <w:color w:val="000000"/>
        </w:rPr>
      </w:pPr>
      <w:r>
        <w:rPr>
          <w:color w:val="000000"/>
        </w:rPr>
        <w:t xml:space="preserve">We will vacate and remand. </w:t>
      </w:r>
      <w:r w:rsidRPr="00793DC4">
        <w:rPr>
          <w:color w:val="000000"/>
          <w:highlight w:val="yellow"/>
        </w:rPr>
        <w:t>Preemption is an affirmative defense, and Merck has not carried its burden to prove that it is entitled to that defense as a matter of law.</w:t>
      </w:r>
      <w:r>
        <w:rPr>
          <w:color w:val="000000"/>
        </w:rPr>
        <w:t xml:space="preserve"> The </w:t>
      </w:r>
      <w:hyperlink r:id="rId46" w:history="1">
        <w:r>
          <w:rPr>
            <w:i/>
            <w:iCs/>
            <w:color w:val="000000"/>
          </w:rPr>
          <w:t>Wyeth</w:t>
        </w:r>
      </w:hyperlink>
      <w:r>
        <w:rPr>
          <w:color w:val="000000"/>
        </w:rPr>
        <w:t xml:space="preserve"> “clear evidence” standard is demanding and fact-sensitive. It requires the </w:t>
      </w:r>
      <w:proofErr w:type="spellStart"/>
      <w:r>
        <w:rPr>
          <w:color w:val="000000"/>
        </w:rPr>
        <w:t>factfinder</w:t>
      </w:r>
      <w:proofErr w:type="spellEnd"/>
      <w:r>
        <w:rPr>
          <w:color w:val="000000"/>
        </w:rPr>
        <w:t xml:space="preserve"> to predict a highly probable outcome in a counterfactual world and, therefore, requires a court sitting in summary judgment to anticipate both the range of conclusions that a reasonable juror might reach and the certainty with which the juror would reach them. Here, </w:t>
      </w:r>
      <w:r w:rsidRPr="00793DC4">
        <w:rPr>
          <w:color w:val="000000"/>
          <w:highlight w:val="yellow"/>
        </w:rPr>
        <w:t xml:space="preserve">Plaintiffs have produced sufficient evidence for a reasonable jury to conclude that the FDA would have approved a </w:t>
      </w:r>
      <w:proofErr w:type="gramStart"/>
      <w:r w:rsidRPr="00793DC4">
        <w:rPr>
          <w:color w:val="000000"/>
          <w:highlight w:val="yellow"/>
        </w:rPr>
        <w:t>properly-worded</w:t>
      </w:r>
      <w:proofErr w:type="gramEnd"/>
      <w:r w:rsidRPr="00793DC4">
        <w:rPr>
          <w:color w:val="000000"/>
          <w:highlight w:val="yellow"/>
        </w:rPr>
        <w:t xml:space="preserve"> warning about the risk of thigh fractures—or at the very least, to conclude that the odds of FDA rejection were less than highly probable.</w:t>
      </w:r>
      <w:r>
        <w:rPr>
          <w:color w:val="000000"/>
        </w:rPr>
        <w:t xml:space="preserve"> Under </w:t>
      </w:r>
      <w:hyperlink r:id="rId47" w:history="1">
        <w:r>
          <w:rPr>
            <w:i/>
            <w:iCs/>
            <w:color w:val="000000"/>
          </w:rPr>
          <w:t>Wyeth</w:t>
        </w:r>
      </w:hyperlink>
      <w:r>
        <w:rPr>
          <w:color w:val="000000"/>
        </w:rPr>
        <w:t xml:space="preserve"> and Rule 56, that is enough for Plaintiffs to defeat summary judgment and </w:t>
      </w:r>
      <w:proofErr w:type="gramStart"/>
      <w:r>
        <w:rPr>
          <w:color w:val="000000"/>
        </w:rPr>
        <w:t>proceed</w:t>
      </w:r>
      <w:proofErr w:type="gramEnd"/>
      <w:r>
        <w:rPr>
          <w:color w:val="000000"/>
        </w:rPr>
        <w:t xml:space="preserve"> to trial.</w:t>
      </w:r>
    </w:p>
    <w:p w14:paraId="4350167D" w14:textId="77777777" w:rsidR="00793DC4" w:rsidRDefault="00793DC4">
      <w:pPr>
        <w:widowControl w:val="0"/>
        <w:autoSpaceDE w:val="0"/>
        <w:autoSpaceDN w:val="0"/>
        <w:adjustRightInd w:val="0"/>
        <w:jc w:val="both"/>
        <w:rPr>
          <w:color w:val="000000"/>
        </w:rPr>
      </w:pPr>
      <w:r>
        <w:rPr>
          <w:color w:val="000000"/>
        </w:rPr>
        <w:t> </w:t>
      </w:r>
    </w:p>
    <w:p w14:paraId="727B957F" w14:textId="77777777" w:rsidR="00793DC4" w:rsidRDefault="00793DC4">
      <w:pPr>
        <w:widowControl w:val="0"/>
        <w:autoSpaceDE w:val="0"/>
        <w:autoSpaceDN w:val="0"/>
        <w:adjustRightInd w:val="0"/>
        <w:spacing w:before="200"/>
        <w:rPr>
          <w:b/>
          <w:bCs/>
          <w:color w:val="000000"/>
        </w:rPr>
      </w:pPr>
      <w:r>
        <w:rPr>
          <w:b/>
          <w:bCs/>
          <w:color w:val="000000"/>
        </w:rPr>
        <w:t>I. BACKGROUND</w:t>
      </w:r>
    </w:p>
    <w:p w14:paraId="0A230C0C" w14:textId="77777777" w:rsidR="00793DC4" w:rsidRDefault="00793DC4">
      <w:pPr>
        <w:widowControl w:val="0"/>
        <w:autoSpaceDE w:val="0"/>
        <w:autoSpaceDN w:val="0"/>
        <w:adjustRightInd w:val="0"/>
        <w:spacing w:before="400" w:after="200"/>
        <w:jc w:val="center"/>
        <w:rPr>
          <w:b/>
          <w:bCs/>
          <w:color w:val="000000"/>
        </w:rPr>
      </w:pPr>
      <w:r>
        <w:rPr>
          <w:b/>
          <w:bCs/>
          <w:color w:val="000000"/>
        </w:rPr>
        <w:t xml:space="preserve">A. </w:t>
      </w:r>
      <w:hyperlink r:id="rId48" w:history="1">
        <w:r>
          <w:rPr>
            <w:b/>
            <w:bCs/>
            <w:color w:val="000000"/>
          </w:rPr>
          <w:t>Fosamax</w:t>
        </w:r>
      </w:hyperlink>
      <w:r>
        <w:rPr>
          <w:b/>
          <w:bCs/>
          <w:color w:val="000000"/>
        </w:rPr>
        <w:t xml:space="preserve"> and Atypical </w:t>
      </w:r>
      <w:hyperlink r:id="rId49" w:history="1">
        <w:r>
          <w:rPr>
            <w:b/>
            <w:bCs/>
            <w:color w:val="000000"/>
          </w:rPr>
          <w:t>Femoral Fractures</w:t>
        </w:r>
      </w:hyperlink>
    </w:p>
    <w:p w14:paraId="7D91D2D7" w14:textId="77777777" w:rsidR="00793DC4" w:rsidRDefault="00793DC4">
      <w:pPr>
        <w:widowControl w:val="0"/>
        <w:autoSpaceDE w:val="0"/>
        <w:autoSpaceDN w:val="0"/>
        <w:adjustRightInd w:val="0"/>
        <w:jc w:val="both"/>
        <w:rPr>
          <w:color w:val="000000"/>
        </w:rPr>
      </w:pPr>
      <w:hyperlink r:id="rId50" w:history="1">
        <w:r>
          <w:rPr>
            <w:color w:val="000000"/>
          </w:rPr>
          <w:t>Fosamax</w:t>
        </w:r>
      </w:hyperlink>
      <w:r>
        <w:rPr>
          <w:color w:val="000000"/>
        </w:rPr>
        <w:t xml:space="preserve"> is a drug manufactured by Merck that belongs to a class of drugs known as bisphosphonates. The Food and Drug Administration (“FDA”) approved </w:t>
      </w:r>
      <w:hyperlink r:id="rId51" w:history="1">
        <w:r>
          <w:rPr>
            <w:color w:val="000000"/>
          </w:rPr>
          <w:t>Fosamax</w:t>
        </w:r>
      </w:hyperlink>
      <w:r>
        <w:rPr>
          <w:color w:val="000000"/>
        </w:rPr>
        <w:t xml:space="preserve"> in the 1990s for the treatment and prevention of </w:t>
      </w:r>
      <w:hyperlink r:id="rId52" w:history="1">
        <w:r>
          <w:rPr>
            <w:color w:val="000000"/>
          </w:rPr>
          <w:t>osteoporosis</w:t>
        </w:r>
      </w:hyperlink>
      <w:r>
        <w:rPr>
          <w:color w:val="000000"/>
        </w:rPr>
        <w:t xml:space="preserve"> in postmenopausal women.</w:t>
      </w:r>
    </w:p>
    <w:p w14:paraId="5E5281EE" w14:textId="77777777" w:rsidR="00793DC4" w:rsidRDefault="00793DC4">
      <w:pPr>
        <w:widowControl w:val="0"/>
        <w:autoSpaceDE w:val="0"/>
        <w:autoSpaceDN w:val="0"/>
        <w:adjustRightInd w:val="0"/>
        <w:jc w:val="both"/>
        <w:rPr>
          <w:color w:val="000000"/>
        </w:rPr>
      </w:pPr>
      <w:r>
        <w:rPr>
          <w:color w:val="000000"/>
        </w:rPr>
        <w:t> </w:t>
      </w:r>
    </w:p>
    <w:p w14:paraId="1E4F832C" w14:textId="77777777" w:rsidR="00793DC4" w:rsidRDefault="00793DC4">
      <w:pPr>
        <w:widowControl w:val="0"/>
        <w:autoSpaceDE w:val="0"/>
        <w:autoSpaceDN w:val="0"/>
        <w:adjustRightInd w:val="0"/>
        <w:jc w:val="both"/>
        <w:rPr>
          <w:color w:val="000000"/>
        </w:rPr>
      </w:pPr>
      <w:hyperlink r:id="rId53" w:history="1">
        <w:r>
          <w:rPr>
            <w:color w:val="000000"/>
          </w:rPr>
          <w:t>Fosamax</w:t>
        </w:r>
      </w:hyperlink>
      <w:r>
        <w:rPr>
          <w:color w:val="000000"/>
        </w:rPr>
        <w:t xml:space="preserve"> treats </w:t>
      </w:r>
      <w:hyperlink r:id="rId54" w:history="1">
        <w:r>
          <w:rPr>
            <w:color w:val="000000"/>
          </w:rPr>
          <w:t>osteoporosis</w:t>
        </w:r>
      </w:hyperlink>
      <w:r>
        <w:rPr>
          <w:color w:val="000000"/>
        </w:rPr>
        <w:t xml:space="preserve"> by correcting an imbalance in the so-called “bone remodeling” process. Throughout a person’s life, bones are continuously broken down through a process called </w:t>
      </w:r>
      <w:proofErr w:type="spellStart"/>
      <w:r>
        <w:rPr>
          <w:color w:val="000000"/>
        </w:rPr>
        <w:t>resorption</w:t>
      </w:r>
      <w:proofErr w:type="spellEnd"/>
      <w:r>
        <w:rPr>
          <w:color w:val="000000"/>
        </w:rPr>
        <w:t xml:space="preserve"> and then reformed by the creation of new </w:t>
      </w:r>
      <w:r>
        <w:rPr>
          <w:b/>
          <w:bCs/>
          <w:color w:val="000000"/>
        </w:rPr>
        <w:t>*272</w:t>
      </w:r>
      <w:r>
        <w:rPr>
          <w:color w:val="000000"/>
        </w:rPr>
        <w:t xml:space="preserve"> bone cells. In postmenopausal women, the rate of bone </w:t>
      </w:r>
      <w:proofErr w:type="spellStart"/>
      <w:r>
        <w:rPr>
          <w:color w:val="000000"/>
        </w:rPr>
        <w:t>resorption</w:t>
      </w:r>
      <w:proofErr w:type="spellEnd"/>
      <w:r>
        <w:rPr>
          <w:color w:val="000000"/>
        </w:rPr>
        <w:t xml:space="preserve"> exceeds that of bone formation, thereby causing bone loss. If bone loss continues unchecked, a person may develop </w:t>
      </w:r>
      <w:hyperlink r:id="rId55" w:history="1">
        <w:r>
          <w:rPr>
            <w:color w:val="000000"/>
          </w:rPr>
          <w:t>osteoporosis</w:t>
        </w:r>
      </w:hyperlink>
      <w:r>
        <w:rPr>
          <w:color w:val="000000"/>
        </w:rPr>
        <w:t>, “a disease characterized by low bone mass and deterioration of bone structure that causes bone fragility and increases the risk of fracture.”</w:t>
      </w:r>
      <w:bookmarkStart w:id="4" w:name="co_footnoteReference_B00032041287330_ID0"/>
      <w:bookmarkEnd w:id="4"/>
      <w:r>
        <w:rPr>
          <w:color w:val="000000"/>
          <w:sz w:val="16"/>
          <w:szCs w:val="16"/>
        </w:rPr>
        <w:fldChar w:fldCharType="begin"/>
      </w:r>
      <w:r>
        <w:rPr>
          <w:color w:val="000000"/>
          <w:sz w:val="16"/>
          <w:szCs w:val="16"/>
        </w:rPr>
        <w:instrText xml:space="preserve">HYPERLINK "#co_footnote_B00032041287330_1" </w:instrText>
      </w:r>
      <w:r w:rsidR="00F61700">
        <w:rPr>
          <w:color w:val="000000"/>
          <w:sz w:val="16"/>
          <w:szCs w:val="16"/>
        </w:rPr>
      </w:r>
      <w:r>
        <w:rPr>
          <w:color w:val="000000"/>
          <w:sz w:val="16"/>
          <w:szCs w:val="16"/>
        </w:rPr>
        <w:fldChar w:fldCharType="separate"/>
      </w:r>
      <w:r>
        <w:rPr>
          <w:color w:val="000000"/>
          <w:sz w:val="16"/>
          <w:szCs w:val="16"/>
          <w:vertAlign w:val="superscript"/>
        </w:rPr>
        <w:t>2</w:t>
      </w:r>
      <w:r>
        <w:rPr>
          <w:color w:val="000000"/>
          <w:sz w:val="16"/>
          <w:szCs w:val="16"/>
        </w:rPr>
        <w:fldChar w:fldCharType="end"/>
      </w:r>
      <w:r>
        <w:rPr>
          <w:color w:val="000000"/>
        </w:rPr>
        <w:t xml:space="preserve"> Bisphosphonates like </w:t>
      </w:r>
      <w:hyperlink r:id="rId56" w:history="1">
        <w:r>
          <w:rPr>
            <w:color w:val="000000"/>
          </w:rPr>
          <w:t>Fosamax</w:t>
        </w:r>
      </w:hyperlink>
      <w:r>
        <w:rPr>
          <w:color w:val="000000"/>
        </w:rPr>
        <w:t xml:space="preserve"> slow the </w:t>
      </w:r>
      <w:proofErr w:type="spellStart"/>
      <w:r>
        <w:rPr>
          <w:color w:val="000000"/>
        </w:rPr>
        <w:t>resorption</w:t>
      </w:r>
      <w:proofErr w:type="spellEnd"/>
      <w:r>
        <w:rPr>
          <w:color w:val="000000"/>
        </w:rPr>
        <w:t xml:space="preserve"> process, restoring the balance between </w:t>
      </w:r>
      <w:proofErr w:type="spellStart"/>
      <w:r>
        <w:rPr>
          <w:color w:val="000000"/>
        </w:rPr>
        <w:t>resorption</w:t>
      </w:r>
      <w:proofErr w:type="spellEnd"/>
      <w:r>
        <w:rPr>
          <w:color w:val="000000"/>
        </w:rPr>
        <w:t xml:space="preserve"> and formation and reducing the risk of </w:t>
      </w:r>
      <w:hyperlink r:id="rId57" w:history="1">
        <w:r>
          <w:rPr>
            <w:color w:val="000000"/>
          </w:rPr>
          <w:t>osteoporotic fracture</w:t>
        </w:r>
      </w:hyperlink>
      <w:r>
        <w:rPr>
          <w:color w:val="000000"/>
        </w:rPr>
        <w:t>.</w:t>
      </w:r>
    </w:p>
    <w:p w14:paraId="6B67DE30"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5D92AEC8" w14:textId="77777777">
        <w:tblPrEx>
          <w:tblCellMar>
            <w:top w:w="0" w:type="dxa"/>
            <w:left w:w="0" w:type="dxa"/>
            <w:bottom w:w="0" w:type="dxa"/>
            <w:right w:w="0" w:type="dxa"/>
          </w:tblCellMar>
        </w:tblPrEx>
        <w:tc>
          <w:tcPr>
            <w:tcW w:w="600" w:type="dxa"/>
            <w:tcBorders>
              <w:top w:val="nil"/>
              <w:left w:val="nil"/>
              <w:bottom w:val="nil"/>
              <w:right w:val="nil"/>
            </w:tcBorders>
          </w:tcPr>
          <w:bookmarkStart w:id="5" w:name="co_footnote_B00032041287330_1"/>
          <w:bookmarkEnd w:id="5"/>
          <w:p w14:paraId="0AC3C1EA"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"#co_footnoteReference_B00032041287330_ID0" </w:instrText>
            </w:r>
            <w:r w:rsidR="00F61700">
              <w:rPr>
                <w:color w:val="000000"/>
              </w:rPr>
            </w:r>
            <w:r>
              <w:rPr>
                <w:color w:val="000000"/>
              </w:rPr>
              <w:fldChar w:fldCharType="separate"/>
            </w:r>
            <w:r>
              <w:rPr>
                <w:color w:val="000000"/>
                <w:vertAlign w:val="superscript"/>
              </w:rPr>
              <w:t>2</w:t>
            </w:r>
            <w:r>
              <w:rPr>
                <w:color w:val="000000"/>
              </w:rPr>
              <w:fldChar w:fldCharType="end"/>
            </w:r>
          </w:p>
          <w:p w14:paraId="12F2E5D5"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0B67DC39" w14:textId="77777777" w:rsidR="00793DC4" w:rsidRDefault="00793DC4">
            <w:pPr>
              <w:widowControl w:val="0"/>
              <w:autoSpaceDE w:val="0"/>
              <w:autoSpaceDN w:val="0"/>
              <w:adjustRightInd w:val="0"/>
              <w:jc w:val="both"/>
              <w:rPr>
                <w:color w:val="000000"/>
                <w:sz w:val="18"/>
                <w:szCs w:val="18"/>
              </w:rPr>
            </w:pPr>
            <w:r>
              <w:rPr>
                <w:color w:val="000000"/>
                <w:sz w:val="18"/>
                <w:szCs w:val="18"/>
              </w:rPr>
              <w:t xml:space="preserve">U.S. Dep’t of Health &amp; Human </w:t>
            </w:r>
            <w:proofErr w:type="spellStart"/>
            <w:r>
              <w:rPr>
                <w:color w:val="000000"/>
                <w:sz w:val="18"/>
                <w:szCs w:val="18"/>
              </w:rPr>
              <w:t>Servs</w:t>
            </w:r>
            <w:proofErr w:type="spellEnd"/>
            <w:proofErr w:type="gramStart"/>
            <w:r>
              <w:rPr>
                <w:color w:val="000000"/>
                <w:sz w:val="18"/>
                <w:szCs w:val="18"/>
              </w:rPr>
              <w:t>.,</w:t>
            </w:r>
            <w:proofErr w:type="gramEnd"/>
            <w:r>
              <w:rPr>
                <w:color w:val="000000"/>
                <w:sz w:val="18"/>
                <w:szCs w:val="18"/>
              </w:rPr>
              <w:t xml:space="preserve"> </w:t>
            </w:r>
            <w:r>
              <w:rPr>
                <w:i/>
                <w:iCs/>
                <w:color w:val="000000"/>
                <w:sz w:val="18"/>
                <w:szCs w:val="18"/>
              </w:rPr>
              <w:t xml:space="preserve">Bone Health and </w:t>
            </w:r>
            <w:hyperlink r:id="rId58" w:history="1">
              <w:r>
                <w:rPr>
                  <w:i/>
                  <w:iCs/>
                  <w:color w:val="000000"/>
                  <w:sz w:val="18"/>
                  <w:szCs w:val="18"/>
                </w:rPr>
                <w:t>Osteoporosis</w:t>
              </w:r>
            </w:hyperlink>
            <w:r>
              <w:rPr>
                <w:i/>
                <w:iCs/>
                <w:color w:val="000000"/>
                <w:sz w:val="18"/>
                <w:szCs w:val="18"/>
              </w:rPr>
              <w:t>: A Report of the Surgeon General</w:t>
            </w:r>
            <w:r>
              <w:rPr>
                <w:color w:val="000000"/>
                <w:sz w:val="18"/>
                <w:szCs w:val="18"/>
              </w:rPr>
              <w:t xml:space="preserve"> 41 (2004).</w:t>
            </w:r>
          </w:p>
          <w:p w14:paraId="2A7820E5" w14:textId="77777777" w:rsidR="00793DC4" w:rsidRDefault="00793DC4">
            <w:pPr>
              <w:widowControl w:val="0"/>
              <w:autoSpaceDE w:val="0"/>
              <w:autoSpaceDN w:val="0"/>
              <w:adjustRightInd w:val="0"/>
              <w:jc w:val="both"/>
              <w:rPr>
                <w:color w:val="000000"/>
                <w:sz w:val="18"/>
                <w:szCs w:val="18"/>
              </w:rPr>
            </w:pPr>
          </w:p>
        </w:tc>
      </w:tr>
    </w:tbl>
    <w:p w14:paraId="5F481455" w14:textId="77777777" w:rsidR="00793DC4" w:rsidRDefault="00793DC4">
      <w:pPr>
        <w:widowControl w:val="0"/>
        <w:autoSpaceDE w:val="0"/>
        <w:autoSpaceDN w:val="0"/>
        <w:adjustRightInd w:val="0"/>
        <w:jc w:val="both"/>
        <w:rPr>
          <w:color w:val="000000"/>
        </w:rPr>
      </w:pPr>
    </w:p>
    <w:p w14:paraId="6B40ED5F" w14:textId="77777777" w:rsidR="00793DC4" w:rsidRDefault="00793DC4">
      <w:pPr>
        <w:widowControl w:val="0"/>
        <w:autoSpaceDE w:val="0"/>
        <w:autoSpaceDN w:val="0"/>
        <w:adjustRightInd w:val="0"/>
        <w:jc w:val="both"/>
        <w:rPr>
          <w:color w:val="000000"/>
        </w:rPr>
      </w:pPr>
      <w:r>
        <w:rPr>
          <w:color w:val="000000"/>
        </w:rPr>
        <w:t xml:space="preserve">Plaintiffs claim, however, that </w:t>
      </w:r>
      <w:hyperlink r:id="rId59" w:history="1">
        <w:r>
          <w:rPr>
            <w:color w:val="000000"/>
          </w:rPr>
          <w:t>Fosamax</w:t>
        </w:r>
      </w:hyperlink>
      <w:r>
        <w:rPr>
          <w:color w:val="000000"/>
        </w:rPr>
        <w:t xml:space="preserve"> can actually increase the risk of certain bone fractures. They allege that by slowing </w:t>
      </w:r>
      <w:proofErr w:type="spellStart"/>
      <w:r>
        <w:rPr>
          <w:color w:val="000000"/>
        </w:rPr>
        <w:t>resorption</w:t>
      </w:r>
      <w:proofErr w:type="spellEnd"/>
      <w:r>
        <w:rPr>
          <w:color w:val="000000"/>
        </w:rPr>
        <w:t>, bisphosphonates inhibit bone repair. According to Plaintiffs, bones frequently develop so-called “</w:t>
      </w:r>
      <w:proofErr w:type="spellStart"/>
      <w:r>
        <w:rPr>
          <w:color w:val="000000"/>
        </w:rPr>
        <w:t>microcracks</w:t>
      </w:r>
      <w:proofErr w:type="spellEnd"/>
      <w:r>
        <w:rPr>
          <w:color w:val="000000"/>
        </w:rPr>
        <w:t xml:space="preserve">,” which are ordinarily repaired through the </w:t>
      </w:r>
      <w:proofErr w:type="spellStart"/>
      <w:r>
        <w:rPr>
          <w:color w:val="000000"/>
        </w:rPr>
        <w:t>resorption</w:t>
      </w:r>
      <w:proofErr w:type="spellEnd"/>
      <w:r>
        <w:rPr>
          <w:color w:val="000000"/>
        </w:rPr>
        <w:t xml:space="preserve"> process. An accumulation of </w:t>
      </w:r>
      <w:proofErr w:type="spellStart"/>
      <w:r>
        <w:rPr>
          <w:color w:val="000000"/>
        </w:rPr>
        <w:t>microcracks</w:t>
      </w:r>
      <w:proofErr w:type="spellEnd"/>
      <w:r>
        <w:rPr>
          <w:color w:val="000000"/>
        </w:rPr>
        <w:t xml:space="preserve"> can lead to incomplete bone fractures called “</w:t>
      </w:r>
      <w:hyperlink r:id="rId60" w:history="1">
        <w:r>
          <w:rPr>
            <w:color w:val="000000"/>
          </w:rPr>
          <w:t>stress fractures</w:t>
        </w:r>
      </w:hyperlink>
      <w:r>
        <w:rPr>
          <w:color w:val="000000"/>
        </w:rPr>
        <w:t>.” The standalone term “</w:t>
      </w:r>
      <w:hyperlink r:id="rId61" w:history="1">
        <w:r>
          <w:rPr>
            <w:color w:val="000000"/>
          </w:rPr>
          <w:t>stress fracture</w:t>
        </w:r>
      </w:hyperlink>
      <w:r>
        <w:rPr>
          <w:color w:val="000000"/>
        </w:rPr>
        <w:t xml:space="preserve">” typically connotes a fracture resulting from excessive loading of a normal bone, and is commonly seen in physically active individuals. A so-called “insufficiency </w:t>
      </w:r>
      <w:hyperlink r:id="rId62" w:history="1">
        <w:r>
          <w:rPr>
            <w:color w:val="000000"/>
          </w:rPr>
          <w:t>stress fracture</w:t>
        </w:r>
      </w:hyperlink>
      <w:r>
        <w:rPr>
          <w:color w:val="000000"/>
        </w:rPr>
        <w:t xml:space="preserve">,” by contrast, is a fracture caused by normal loading of poor-quality bone. Plaintiffs claim that while </w:t>
      </w:r>
      <w:hyperlink r:id="rId63" w:history="1">
        <w:r>
          <w:rPr>
            <w:color w:val="000000"/>
          </w:rPr>
          <w:t>stress fractures</w:t>
        </w:r>
      </w:hyperlink>
      <w:r>
        <w:rPr>
          <w:color w:val="000000"/>
        </w:rPr>
        <w:t xml:space="preserve"> typically heal on their own, “some </w:t>
      </w:r>
      <w:hyperlink r:id="rId64" w:history="1">
        <w:r>
          <w:rPr>
            <w:color w:val="000000"/>
          </w:rPr>
          <w:t>Fosamax</w:t>
        </w:r>
      </w:hyperlink>
      <w:r>
        <w:rPr>
          <w:color w:val="000000"/>
        </w:rPr>
        <w:t xml:space="preserve"> users who develop </w:t>
      </w:r>
      <w:hyperlink r:id="rId65" w:history="1">
        <w:r>
          <w:rPr>
            <w:color w:val="000000"/>
          </w:rPr>
          <w:t>insufficiency fractures</w:t>
        </w:r>
      </w:hyperlink>
      <w:r>
        <w:rPr>
          <w:color w:val="000000"/>
        </w:rPr>
        <w:t xml:space="preserve"> have reduced bone toughness, and </w:t>
      </w:r>
      <w:hyperlink r:id="rId66" w:history="1">
        <w:r>
          <w:rPr>
            <w:color w:val="000000"/>
          </w:rPr>
          <w:t>Fosamax</w:t>
        </w:r>
      </w:hyperlink>
      <w:r>
        <w:rPr>
          <w:color w:val="000000"/>
        </w:rPr>
        <w:t xml:space="preserve"> prevents the normal repair of the fracture.”</w:t>
      </w:r>
      <w:bookmarkStart w:id="6" w:name="co_footnoteReference_B00042041287330_ID0"/>
      <w:bookmarkEnd w:id="6"/>
      <w:r>
        <w:rPr>
          <w:color w:val="000000"/>
          <w:sz w:val="16"/>
          <w:szCs w:val="16"/>
        </w:rPr>
        <w:fldChar w:fldCharType="begin"/>
      </w:r>
      <w:r>
        <w:rPr>
          <w:color w:val="000000"/>
          <w:sz w:val="16"/>
          <w:szCs w:val="16"/>
        </w:rPr>
        <w:instrText xml:space="preserve">HYPERLINK "#co_footnote_B00042041287330_1" </w:instrText>
      </w:r>
      <w:r w:rsidR="00F61700">
        <w:rPr>
          <w:color w:val="000000"/>
          <w:sz w:val="16"/>
          <w:szCs w:val="16"/>
        </w:rPr>
      </w:r>
      <w:r>
        <w:rPr>
          <w:color w:val="000000"/>
          <w:sz w:val="16"/>
          <w:szCs w:val="16"/>
        </w:rPr>
        <w:fldChar w:fldCharType="separate"/>
      </w:r>
      <w:r>
        <w:rPr>
          <w:color w:val="000000"/>
          <w:sz w:val="16"/>
          <w:szCs w:val="16"/>
          <w:vertAlign w:val="superscript"/>
        </w:rPr>
        <w:t>3</w:t>
      </w:r>
      <w:r>
        <w:rPr>
          <w:color w:val="000000"/>
          <w:sz w:val="16"/>
          <w:szCs w:val="16"/>
        </w:rPr>
        <w:fldChar w:fldCharType="end"/>
      </w:r>
      <w:r>
        <w:rPr>
          <w:color w:val="000000"/>
        </w:rPr>
        <w:t xml:space="preserve"> According to Plaintiffs, these patients may then go on to develop what are known as “atypical </w:t>
      </w:r>
      <w:hyperlink r:id="rId67" w:history="1">
        <w:r>
          <w:rPr>
            <w:color w:val="000000"/>
          </w:rPr>
          <w:t>femoral fractures</w:t>
        </w:r>
      </w:hyperlink>
      <w:r>
        <w:rPr>
          <w:color w:val="000000"/>
        </w:rPr>
        <w:t>”: severe, non-traumatic, low-energy complete fractures of the femur.</w:t>
      </w:r>
    </w:p>
    <w:p w14:paraId="34DF5651"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32D275D3" w14:textId="77777777">
        <w:tblPrEx>
          <w:tblCellMar>
            <w:top w:w="0" w:type="dxa"/>
            <w:left w:w="0" w:type="dxa"/>
            <w:bottom w:w="0" w:type="dxa"/>
            <w:right w:w="0" w:type="dxa"/>
          </w:tblCellMar>
        </w:tblPrEx>
        <w:tc>
          <w:tcPr>
            <w:tcW w:w="600" w:type="dxa"/>
            <w:tcBorders>
              <w:top w:val="nil"/>
              <w:left w:val="nil"/>
              <w:bottom w:val="nil"/>
              <w:right w:val="nil"/>
            </w:tcBorders>
          </w:tcPr>
          <w:bookmarkStart w:id="7" w:name="co_footnote_B00042041287330_1"/>
          <w:bookmarkEnd w:id="7"/>
          <w:p w14:paraId="76FF1E31"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"#co_footnoteReference_B00042041287330_ID0" </w:instrText>
            </w:r>
            <w:r w:rsidR="00F61700">
              <w:rPr>
                <w:color w:val="000000"/>
              </w:rPr>
            </w:r>
            <w:r>
              <w:rPr>
                <w:color w:val="000000"/>
              </w:rPr>
              <w:fldChar w:fldCharType="separate"/>
            </w:r>
            <w:r>
              <w:rPr>
                <w:color w:val="000000"/>
                <w:vertAlign w:val="superscript"/>
              </w:rPr>
              <w:t>3</w:t>
            </w:r>
            <w:r>
              <w:rPr>
                <w:color w:val="000000"/>
              </w:rPr>
              <w:fldChar w:fldCharType="end"/>
            </w:r>
          </w:p>
          <w:p w14:paraId="3436238E"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1BFECBD7" w14:textId="77777777" w:rsidR="00793DC4" w:rsidRDefault="00793DC4">
            <w:pPr>
              <w:widowControl w:val="0"/>
              <w:autoSpaceDE w:val="0"/>
              <w:autoSpaceDN w:val="0"/>
              <w:adjustRightInd w:val="0"/>
              <w:jc w:val="both"/>
              <w:rPr>
                <w:color w:val="000000"/>
                <w:sz w:val="18"/>
                <w:szCs w:val="18"/>
              </w:rPr>
            </w:pPr>
            <w:r>
              <w:rPr>
                <w:color w:val="000000"/>
                <w:sz w:val="18"/>
                <w:szCs w:val="18"/>
              </w:rPr>
              <w:t>Pls. Br. 15 (citing A 884.)</w:t>
            </w:r>
          </w:p>
          <w:p w14:paraId="18DEB500" w14:textId="77777777" w:rsidR="00793DC4" w:rsidRDefault="00793DC4">
            <w:pPr>
              <w:widowControl w:val="0"/>
              <w:autoSpaceDE w:val="0"/>
              <w:autoSpaceDN w:val="0"/>
              <w:adjustRightInd w:val="0"/>
              <w:jc w:val="both"/>
              <w:rPr>
                <w:color w:val="000000"/>
                <w:sz w:val="18"/>
                <w:szCs w:val="18"/>
              </w:rPr>
            </w:pPr>
          </w:p>
        </w:tc>
      </w:tr>
    </w:tbl>
    <w:p w14:paraId="4EFEFBAA" w14:textId="77777777" w:rsidR="00793DC4" w:rsidRDefault="00793DC4">
      <w:pPr>
        <w:widowControl w:val="0"/>
        <w:autoSpaceDE w:val="0"/>
        <w:autoSpaceDN w:val="0"/>
        <w:adjustRightInd w:val="0"/>
        <w:jc w:val="both"/>
        <w:rPr>
          <w:color w:val="000000"/>
        </w:rPr>
      </w:pPr>
    </w:p>
    <w:p w14:paraId="270984B2" w14:textId="77777777" w:rsidR="00793DC4" w:rsidRDefault="00793DC4">
      <w:pPr>
        <w:widowControl w:val="0"/>
        <w:autoSpaceDE w:val="0"/>
        <w:autoSpaceDN w:val="0"/>
        <w:adjustRightInd w:val="0"/>
        <w:jc w:val="both"/>
        <w:rPr>
          <w:color w:val="000000"/>
        </w:rPr>
      </w:pPr>
      <w:r>
        <w:rPr>
          <w:color w:val="000000"/>
        </w:rPr>
        <w:t xml:space="preserve">Plaintiffs in this case are all </w:t>
      </w:r>
      <w:hyperlink r:id="rId68" w:history="1">
        <w:r>
          <w:rPr>
            <w:color w:val="000000"/>
          </w:rPr>
          <w:t>Fosamax</w:t>
        </w:r>
      </w:hyperlink>
      <w:r>
        <w:rPr>
          <w:color w:val="000000"/>
        </w:rPr>
        <w:t xml:space="preserve"> users who suffered atypical </w:t>
      </w:r>
      <w:hyperlink r:id="rId69" w:history="1">
        <w:r>
          <w:rPr>
            <w:color w:val="000000"/>
          </w:rPr>
          <w:t>femoral fractures</w:t>
        </w:r>
      </w:hyperlink>
      <w:r>
        <w:rPr>
          <w:color w:val="000000"/>
        </w:rPr>
        <w:t xml:space="preserve">. They allege, among other things, that (1) </w:t>
      </w:r>
      <w:hyperlink r:id="rId70" w:history="1">
        <w:r>
          <w:rPr>
            <w:color w:val="000000"/>
          </w:rPr>
          <w:t>Fosamax</w:t>
        </w:r>
      </w:hyperlink>
      <w:r>
        <w:rPr>
          <w:color w:val="000000"/>
        </w:rPr>
        <w:t xml:space="preserve"> caused these atypical fractures by slowing the </w:t>
      </w:r>
      <w:proofErr w:type="spellStart"/>
      <w:r>
        <w:rPr>
          <w:color w:val="000000"/>
        </w:rPr>
        <w:t>resorption</w:t>
      </w:r>
      <w:proofErr w:type="spellEnd"/>
      <w:r>
        <w:rPr>
          <w:color w:val="000000"/>
        </w:rPr>
        <w:t xml:space="preserve"> process and allowing </w:t>
      </w:r>
      <w:proofErr w:type="spellStart"/>
      <w:r>
        <w:rPr>
          <w:color w:val="000000"/>
        </w:rPr>
        <w:t>microcracks</w:t>
      </w:r>
      <w:proofErr w:type="spellEnd"/>
      <w:r>
        <w:rPr>
          <w:color w:val="000000"/>
        </w:rPr>
        <w:t xml:space="preserve"> to accumulate, and (2) Merck was aware of the risk of such fractures but acted unlawfully by failing to warn doctors and patients of those dangers. They claim that Merck should have included a warning about atypical </w:t>
      </w:r>
      <w:hyperlink r:id="rId71" w:history="1">
        <w:r>
          <w:rPr>
            <w:color w:val="000000"/>
          </w:rPr>
          <w:t>femoral fractures</w:t>
        </w:r>
      </w:hyperlink>
      <w:r>
        <w:rPr>
          <w:color w:val="000000"/>
        </w:rPr>
        <w:t xml:space="preserve"> in the </w:t>
      </w:r>
      <w:proofErr w:type="gramStart"/>
      <w:r>
        <w:rPr>
          <w:color w:val="000000"/>
        </w:rPr>
        <w:t>federally-mandated</w:t>
      </w:r>
      <w:proofErr w:type="gramEnd"/>
      <w:r>
        <w:rPr>
          <w:color w:val="000000"/>
        </w:rPr>
        <w:t xml:space="preserve"> drug warnings that accompany prescription drugs. The interplay, and potential collision, between state-law warning duties and federal regulatory requirements is the subject of this appeal.</w:t>
      </w:r>
    </w:p>
    <w:p w14:paraId="333475A2" w14:textId="77777777" w:rsidR="00793DC4" w:rsidRDefault="00793DC4">
      <w:pPr>
        <w:widowControl w:val="0"/>
        <w:autoSpaceDE w:val="0"/>
        <w:autoSpaceDN w:val="0"/>
        <w:adjustRightInd w:val="0"/>
        <w:jc w:val="both"/>
        <w:rPr>
          <w:color w:val="000000"/>
        </w:rPr>
      </w:pPr>
      <w:r>
        <w:rPr>
          <w:color w:val="000000"/>
        </w:rPr>
        <w:t> </w:t>
      </w:r>
    </w:p>
    <w:p w14:paraId="7E91A0F0" w14:textId="77777777" w:rsidR="00793DC4" w:rsidRDefault="00793DC4">
      <w:pPr>
        <w:widowControl w:val="0"/>
        <w:autoSpaceDE w:val="0"/>
        <w:autoSpaceDN w:val="0"/>
        <w:adjustRightInd w:val="0"/>
        <w:spacing w:before="400" w:after="200"/>
        <w:jc w:val="center"/>
        <w:rPr>
          <w:b/>
          <w:bCs/>
          <w:color w:val="000000"/>
        </w:rPr>
      </w:pPr>
      <w:r>
        <w:rPr>
          <w:b/>
          <w:bCs/>
          <w:color w:val="000000"/>
        </w:rPr>
        <w:t>B. Regulatory Framework</w:t>
      </w:r>
    </w:p>
    <w:p w14:paraId="33D81644" w14:textId="77777777" w:rsidR="00793DC4" w:rsidRDefault="00793DC4">
      <w:pPr>
        <w:widowControl w:val="0"/>
        <w:autoSpaceDE w:val="0"/>
        <w:autoSpaceDN w:val="0"/>
        <w:adjustRightInd w:val="0"/>
        <w:jc w:val="both"/>
        <w:rPr>
          <w:color w:val="000000"/>
          <w:sz w:val="16"/>
          <w:szCs w:val="16"/>
        </w:rPr>
      </w:pPr>
      <w:r>
        <w:rPr>
          <w:color w:val="000000"/>
        </w:rPr>
        <w:t>The Food, Drug, and Cosmetic Act (“FDCA”)</w:t>
      </w:r>
      <w:bookmarkStart w:id="8" w:name="co_footnoteReference_B00052041287330_ID0"/>
      <w:bookmarkEnd w:id="8"/>
      <w:r>
        <w:rPr>
          <w:color w:val="000000"/>
          <w:sz w:val="16"/>
          <w:szCs w:val="16"/>
        </w:rPr>
        <w:fldChar w:fldCharType="begin"/>
      </w:r>
      <w:r>
        <w:rPr>
          <w:color w:val="000000"/>
          <w:sz w:val="16"/>
          <w:szCs w:val="16"/>
        </w:rPr>
        <w:instrText xml:space="preserve">HYPERLINK "#co_footnote_B00052041287330_1" </w:instrText>
      </w:r>
      <w:r w:rsidR="00F61700">
        <w:rPr>
          <w:color w:val="000000"/>
          <w:sz w:val="16"/>
          <w:szCs w:val="16"/>
        </w:rPr>
      </w:r>
      <w:r>
        <w:rPr>
          <w:color w:val="000000"/>
          <w:sz w:val="16"/>
          <w:szCs w:val="16"/>
        </w:rPr>
        <w:fldChar w:fldCharType="separate"/>
      </w:r>
      <w:r>
        <w:rPr>
          <w:color w:val="000000"/>
          <w:sz w:val="16"/>
          <w:szCs w:val="16"/>
          <w:vertAlign w:val="superscript"/>
        </w:rPr>
        <w:t>4</w:t>
      </w:r>
      <w:r>
        <w:rPr>
          <w:color w:val="000000"/>
          <w:sz w:val="16"/>
          <w:szCs w:val="16"/>
        </w:rPr>
        <w:fldChar w:fldCharType="end"/>
      </w:r>
      <w:r>
        <w:rPr>
          <w:color w:val="000000"/>
        </w:rPr>
        <w:t xml:space="preserve"> regulates the marketing and sale of prescription drugs in the United States. Under the FDCA, a manufacturer must obtain approval from the United States Food and Drug Administration (“FDA”) before marketing a new drug.</w:t>
      </w:r>
      <w:bookmarkStart w:id="9" w:name="co_footnoteReference_B00062041287330_ID0"/>
      <w:bookmarkEnd w:id="9"/>
      <w:r>
        <w:rPr>
          <w:color w:val="000000"/>
          <w:sz w:val="16"/>
          <w:szCs w:val="16"/>
        </w:rPr>
        <w:fldChar w:fldCharType="begin"/>
      </w:r>
      <w:r>
        <w:rPr>
          <w:color w:val="000000"/>
          <w:sz w:val="16"/>
          <w:szCs w:val="16"/>
        </w:rPr>
        <w:instrText xml:space="preserve">HYPERLINK "#co_footnote_B00062041287330_1" </w:instrText>
      </w:r>
      <w:r w:rsidR="00F61700">
        <w:rPr>
          <w:color w:val="000000"/>
          <w:sz w:val="16"/>
          <w:szCs w:val="16"/>
        </w:rPr>
      </w:r>
      <w:r>
        <w:rPr>
          <w:color w:val="000000"/>
          <w:sz w:val="16"/>
          <w:szCs w:val="16"/>
        </w:rPr>
        <w:fldChar w:fldCharType="separate"/>
      </w:r>
      <w:r>
        <w:rPr>
          <w:color w:val="000000"/>
          <w:sz w:val="16"/>
          <w:szCs w:val="16"/>
          <w:vertAlign w:val="superscript"/>
        </w:rPr>
        <w:t>5</w:t>
      </w:r>
      <w:r>
        <w:rPr>
          <w:color w:val="000000"/>
          <w:sz w:val="16"/>
          <w:szCs w:val="16"/>
        </w:rPr>
        <w:fldChar w:fldCharType="end"/>
      </w:r>
      <w:r>
        <w:rPr>
          <w:color w:val="000000"/>
        </w:rPr>
        <w:t xml:space="preserve"> As part of a new drug application, the manufacturer must submit a proposed package insert, commonly called the “drug label,” that sets out the drug’s medical uses (“indications”) and health risks.</w:t>
      </w:r>
      <w:bookmarkStart w:id="10" w:name="co_footnoteReference_B00072041287330_ID0"/>
      <w:bookmarkEnd w:id="10"/>
      <w:r>
        <w:rPr>
          <w:color w:val="000000"/>
          <w:sz w:val="16"/>
          <w:szCs w:val="16"/>
        </w:rPr>
        <w:fldChar w:fldCharType="begin"/>
      </w:r>
      <w:r>
        <w:rPr>
          <w:color w:val="000000"/>
          <w:sz w:val="16"/>
          <w:szCs w:val="16"/>
        </w:rPr>
        <w:instrText xml:space="preserve">HYPERLINK "#co_footnote_B00072041287330_1" </w:instrText>
      </w:r>
      <w:r w:rsidR="00F61700">
        <w:rPr>
          <w:color w:val="000000"/>
          <w:sz w:val="16"/>
          <w:szCs w:val="16"/>
        </w:rPr>
      </w:r>
      <w:r>
        <w:rPr>
          <w:color w:val="000000"/>
          <w:sz w:val="16"/>
          <w:szCs w:val="16"/>
        </w:rPr>
        <w:fldChar w:fldCharType="separate"/>
      </w:r>
      <w:r>
        <w:rPr>
          <w:color w:val="000000"/>
          <w:sz w:val="16"/>
          <w:szCs w:val="16"/>
          <w:vertAlign w:val="superscript"/>
        </w:rPr>
        <w:t>6</w:t>
      </w:r>
      <w:r>
        <w:rPr>
          <w:color w:val="000000"/>
          <w:sz w:val="16"/>
          <w:szCs w:val="16"/>
        </w:rPr>
        <w:fldChar w:fldCharType="end"/>
      </w:r>
      <w:r>
        <w:rPr>
          <w:color w:val="000000"/>
        </w:rPr>
        <w:t xml:space="preserve"> “To obtain FDA approval, drug companies generally must submit evidence from clinical trials and other testing that evaluate the drug’s risks and benefits and demonstrate that it is safe and effective for all of the indications ‘prescribed, recommended, or suggested’ on the drug’s label.”</w:t>
      </w:r>
      <w:bookmarkStart w:id="11" w:name="co_footnoteReference_B00082041287330_ID0"/>
      <w:bookmarkEnd w:id="11"/>
      <w:r>
        <w:rPr>
          <w:color w:val="000000"/>
          <w:sz w:val="16"/>
          <w:szCs w:val="16"/>
        </w:rPr>
        <w:fldChar w:fldCharType="begin"/>
      </w:r>
      <w:r>
        <w:rPr>
          <w:color w:val="000000"/>
          <w:sz w:val="16"/>
          <w:szCs w:val="16"/>
        </w:rPr>
        <w:instrText xml:space="preserve">HYPERLINK "#co_footnote_B00082041287330_1" </w:instrText>
      </w:r>
      <w:r w:rsidR="00F61700">
        <w:rPr>
          <w:color w:val="000000"/>
          <w:sz w:val="16"/>
          <w:szCs w:val="16"/>
        </w:rPr>
      </w:r>
      <w:r>
        <w:rPr>
          <w:color w:val="000000"/>
          <w:sz w:val="16"/>
          <w:szCs w:val="16"/>
        </w:rPr>
        <w:fldChar w:fldCharType="separate"/>
      </w:r>
      <w:r>
        <w:rPr>
          <w:color w:val="000000"/>
          <w:sz w:val="16"/>
          <w:szCs w:val="16"/>
          <w:vertAlign w:val="superscript"/>
        </w:rPr>
        <w:t>7</w:t>
      </w:r>
      <w:r>
        <w:rPr>
          <w:color w:val="000000"/>
          <w:sz w:val="16"/>
          <w:szCs w:val="16"/>
        </w:rPr>
        <w:fldChar w:fldCharType="end"/>
      </w:r>
      <w:r>
        <w:rPr>
          <w:color w:val="000000"/>
        </w:rPr>
        <w:t xml:space="preserve"> The FDA’s </w:t>
      </w:r>
      <w:r>
        <w:rPr>
          <w:b/>
          <w:bCs/>
          <w:color w:val="000000"/>
        </w:rPr>
        <w:t>*273</w:t>
      </w:r>
      <w:r>
        <w:rPr>
          <w:color w:val="000000"/>
        </w:rPr>
        <w:t xml:space="preserve"> approval of a new drug application is conditioned on its approval of the exact text of the drug label.</w:t>
      </w:r>
      <w:bookmarkStart w:id="12" w:name="co_footnoteReference_B00092041287330_ID0"/>
      <w:bookmarkEnd w:id="12"/>
      <w:r>
        <w:rPr>
          <w:color w:val="000000"/>
          <w:sz w:val="16"/>
          <w:szCs w:val="16"/>
        </w:rPr>
        <w:fldChar w:fldCharType="begin"/>
      </w:r>
      <w:r>
        <w:rPr>
          <w:color w:val="000000"/>
          <w:sz w:val="16"/>
          <w:szCs w:val="16"/>
        </w:rPr>
        <w:instrText xml:space="preserve">HYPERLINK "#co_footnote_B00092041287330_1" </w:instrText>
      </w:r>
      <w:r w:rsidR="00F61700">
        <w:rPr>
          <w:color w:val="000000"/>
          <w:sz w:val="16"/>
          <w:szCs w:val="16"/>
        </w:rPr>
      </w:r>
      <w:r>
        <w:rPr>
          <w:color w:val="000000"/>
          <w:sz w:val="16"/>
          <w:szCs w:val="16"/>
        </w:rPr>
        <w:fldChar w:fldCharType="separate"/>
      </w:r>
      <w:r>
        <w:rPr>
          <w:color w:val="000000"/>
          <w:sz w:val="16"/>
          <w:szCs w:val="16"/>
          <w:vertAlign w:val="superscript"/>
        </w:rPr>
        <w:t>8</w:t>
      </w:r>
      <w:r>
        <w:rPr>
          <w:color w:val="000000"/>
          <w:sz w:val="16"/>
          <w:szCs w:val="16"/>
        </w:rPr>
        <w:fldChar w:fldCharType="end"/>
      </w:r>
    </w:p>
    <w:p w14:paraId="03DB0AF2"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6FAB4EB1" w14:textId="77777777">
        <w:tblPrEx>
          <w:tblCellMar>
            <w:top w:w="0" w:type="dxa"/>
            <w:left w:w="0" w:type="dxa"/>
            <w:bottom w:w="0" w:type="dxa"/>
            <w:right w:w="0" w:type="dxa"/>
          </w:tblCellMar>
        </w:tblPrEx>
        <w:tc>
          <w:tcPr>
            <w:tcW w:w="600" w:type="dxa"/>
            <w:tcBorders>
              <w:top w:val="nil"/>
              <w:left w:val="nil"/>
              <w:bottom w:val="nil"/>
              <w:right w:val="nil"/>
            </w:tcBorders>
          </w:tcPr>
          <w:bookmarkStart w:id="13" w:name="co_footnote_B00052041287330_1"/>
          <w:bookmarkEnd w:id="13"/>
          <w:p w14:paraId="053F8A09"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"#co_footnoteReference_B00052041287330_ID0" </w:instrText>
            </w:r>
            <w:r w:rsidR="00F61700">
              <w:rPr>
                <w:color w:val="000000"/>
              </w:rPr>
            </w:r>
            <w:r>
              <w:rPr>
                <w:color w:val="000000"/>
              </w:rPr>
              <w:fldChar w:fldCharType="separate"/>
            </w:r>
            <w:r>
              <w:rPr>
                <w:color w:val="000000"/>
                <w:vertAlign w:val="superscript"/>
              </w:rPr>
              <w:t>4</w:t>
            </w:r>
            <w:r>
              <w:rPr>
                <w:color w:val="000000"/>
              </w:rPr>
              <w:fldChar w:fldCharType="end"/>
            </w:r>
          </w:p>
          <w:p w14:paraId="719F1D82"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003C04CF" w14:textId="77777777" w:rsidR="00793DC4" w:rsidRDefault="00793DC4">
            <w:pPr>
              <w:widowControl w:val="0"/>
              <w:autoSpaceDE w:val="0"/>
              <w:autoSpaceDN w:val="0"/>
              <w:adjustRightInd w:val="0"/>
              <w:jc w:val="both"/>
              <w:rPr>
                <w:color w:val="000000"/>
                <w:sz w:val="18"/>
                <w:szCs w:val="18"/>
              </w:rPr>
            </w:pPr>
            <w:hyperlink r:id="rId72" w:history="1">
              <w:r>
                <w:rPr>
                  <w:color w:val="000000"/>
                  <w:sz w:val="18"/>
                  <w:szCs w:val="18"/>
                </w:rPr>
                <w:t xml:space="preserve">21 U.S.C. § 301 </w:t>
              </w:r>
              <w:r>
                <w:rPr>
                  <w:i/>
                  <w:iCs/>
                  <w:color w:val="000000"/>
                  <w:sz w:val="18"/>
                  <w:szCs w:val="18"/>
                </w:rPr>
                <w:t>et seq</w:t>
              </w:r>
              <w:r>
                <w:rPr>
                  <w:color w:val="000000"/>
                  <w:sz w:val="18"/>
                  <w:szCs w:val="18"/>
                </w:rPr>
                <w:t>.</w:t>
              </w:r>
            </w:hyperlink>
          </w:p>
          <w:p w14:paraId="199120FD" w14:textId="77777777" w:rsidR="00793DC4" w:rsidRDefault="00793DC4">
            <w:pPr>
              <w:widowControl w:val="0"/>
              <w:autoSpaceDE w:val="0"/>
              <w:autoSpaceDN w:val="0"/>
              <w:adjustRightInd w:val="0"/>
              <w:jc w:val="both"/>
              <w:rPr>
                <w:color w:val="000000"/>
                <w:sz w:val="18"/>
                <w:szCs w:val="18"/>
              </w:rPr>
            </w:pPr>
          </w:p>
        </w:tc>
      </w:tr>
    </w:tbl>
    <w:p w14:paraId="19F6E122"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49D5ADBF" w14:textId="77777777">
        <w:tblPrEx>
          <w:tblCellMar>
            <w:top w:w="0" w:type="dxa"/>
            <w:left w:w="0" w:type="dxa"/>
            <w:bottom w:w="0" w:type="dxa"/>
            <w:right w:w="0" w:type="dxa"/>
          </w:tblCellMar>
        </w:tblPrEx>
        <w:tc>
          <w:tcPr>
            <w:tcW w:w="600" w:type="dxa"/>
            <w:tcBorders>
              <w:top w:val="nil"/>
              <w:left w:val="nil"/>
              <w:bottom w:val="nil"/>
              <w:right w:val="nil"/>
            </w:tcBorders>
          </w:tcPr>
          <w:bookmarkStart w:id="14" w:name="co_footnote_B00062041287330_1"/>
          <w:bookmarkEnd w:id="14"/>
          <w:p w14:paraId="2F279292"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"#co_footnoteReference_B00062041287330_ID0" </w:instrText>
            </w:r>
            <w:r w:rsidR="00F61700">
              <w:rPr>
                <w:color w:val="000000"/>
              </w:rPr>
            </w:r>
            <w:r>
              <w:rPr>
                <w:color w:val="000000"/>
              </w:rPr>
              <w:fldChar w:fldCharType="separate"/>
            </w:r>
            <w:r>
              <w:rPr>
                <w:color w:val="000000"/>
                <w:vertAlign w:val="superscript"/>
              </w:rPr>
              <w:t>5</w:t>
            </w:r>
            <w:r>
              <w:rPr>
                <w:color w:val="000000"/>
              </w:rPr>
              <w:fldChar w:fldCharType="end"/>
            </w:r>
          </w:p>
          <w:p w14:paraId="1C2EADE1"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45D1451D" w14:textId="77777777" w:rsidR="00793DC4" w:rsidRDefault="00793DC4">
            <w:pPr>
              <w:widowControl w:val="0"/>
              <w:autoSpaceDE w:val="0"/>
              <w:autoSpaceDN w:val="0"/>
              <w:adjustRightInd w:val="0"/>
              <w:jc w:val="both"/>
              <w:rPr>
                <w:color w:val="000000"/>
                <w:sz w:val="18"/>
                <w:szCs w:val="18"/>
              </w:rPr>
            </w:pPr>
            <w:r>
              <w:rPr>
                <w:i/>
                <w:iCs/>
                <w:color w:val="000000"/>
                <w:sz w:val="18"/>
                <w:szCs w:val="18"/>
              </w:rPr>
              <w:t>Id</w:t>
            </w:r>
            <w:r>
              <w:rPr>
                <w:color w:val="000000"/>
                <w:sz w:val="18"/>
                <w:szCs w:val="18"/>
              </w:rPr>
              <w:t>. § 355(a).</w:t>
            </w:r>
          </w:p>
          <w:p w14:paraId="0855421B" w14:textId="77777777" w:rsidR="00793DC4" w:rsidRDefault="00793DC4">
            <w:pPr>
              <w:widowControl w:val="0"/>
              <w:autoSpaceDE w:val="0"/>
              <w:autoSpaceDN w:val="0"/>
              <w:adjustRightInd w:val="0"/>
              <w:jc w:val="both"/>
              <w:rPr>
                <w:color w:val="000000"/>
                <w:sz w:val="18"/>
                <w:szCs w:val="18"/>
              </w:rPr>
            </w:pPr>
          </w:p>
        </w:tc>
      </w:tr>
    </w:tbl>
    <w:p w14:paraId="25774B1C"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493BAC5F" w14:textId="77777777">
        <w:tblPrEx>
          <w:tblCellMar>
            <w:top w:w="0" w:type="dxa"/>
            <w:left w:w="0" w:type="dxa"/>
            <w:bottom w:w="0" w:type="dxa"/>
            <w:right w:w="0" w:type="dxa"/>
          </w:tblCellMar>
        </w:tblPrEx>
        <w:tc>
          <w:tcPr>
            <w:tcW w:w="600" w:type="dxa"/>
            <w:tcBorders>
              <w:top w:val="nil"/>
              <w:left w:val="nil"/>
              <w:bottom w:val="nil"/>
              <w:right w:val="nil"/>
            </w:tcBorders>
          </w:tcPr>
          <w:bookmarkStart w:id="15" w:name="co_footnote_B00072041287330_1"/>
          <w:bookmarkEnd w:id="15"/>
          <w:p w14:paraId="6C893907"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"#co_footnoteReference_B00072041287330_ID0" </w:instrText>
            </w:r>
            <w:r w:rsidR="00F61700">
              <w:rPr>
                <w:color w:val="000000"/>
              </w:rPr>
            </w:r>
            <w:r>
              <w:rPr>
                <w:color w:val="000000"/>
              </w:rPr>
              <w:fldChar w:fldCharType="separate"/>
            </w:r>
            <w:r>
              <w:rPr>
                <w:color w:val="000000"/>
                <w:vertAlign w:val="superscript"/>
              </w:rPr>
              <w:t>6</w:t>
            </w:r>
            <w:r>
              <w:rPr>
                <w:color w:val="000000"/>
              </w:rPr>
              <w:fldChar w:fldCharType="end"/>
            </w:r>
          </w:p>
          <w:p w14:paraId="675DA2CC"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0E3B63A0" w14:textId="77777777" w:rsidR="00793DC4" w:rsidRDefault="00793DC4">
            <w:pPr>
              <w:widowControl w:val="0"/>
              <w:autoSpaceDE w:val="0"/>
              <w:autoSpaceDN w:val="0"/>
              <w:adjustRightInd w:val="0"/>
              <w:jc w:val="both"/>
              <w:rPr>
                <w:color w:val="000000"/>
                <w:sz w:val="18"/>
                <w:szCs w:val="18"/>
              </w:rPr>
            </w:pPr>
            <w:hyperlink r:id="rId73" w:history="1">
              <w:r>
                <w:rPr>
                  <w:color w:val="000000"/>
                  <w:sz w:val="18"/>
                  <w:szCs w:val="18"/>
                </w:rPr>
                <w:t>21 C.F.R. § 201.57(a)</w:t>
              </w:r>
            </w:hyperlink>
            <w:r>
              <w:rPr>
                <w:color w:val="000000"/>
                <w:sz w:val="18"/>
                <w:szCs w:val="18"/>
              </w:rPr>
              <w:t xml:space="preserve">; </w:t>
            </w:r>
            <w:hyperlink r:id="rId74" w:history="1">
              <w:r>
                <w:rPr>
                  <w:color w:val="000000"/>
                  <w:sz w:val="18"/>
                  <w:szCs w:val="18"/>
                </w:rPr>
                <w:t>21 U.S.C. § 355(b)(1)(F)</w:t>
              </w:r>
            </w:hyperlink>
            <w:r>
              <w:rPr>
                <w:color w:val="000000"/>
                <w:sz w:val="18"/>
                <w:szCs w:val="18"/>
              </w:rPr>
              <w:t>.</w:t>
            </w:r>
          </w:p>
          <w:p w14:paraId="176999BD" w14:textId="77777777" w:rsidR="00793DC4" w:rsidRDefault="00793DC4">
            <w:pPr>
              <w:widowControl w:val="0"/>
              <w:autoSpaceDE w:val="0"/>
              <w:autoSpaceDN w:val="0"/>
              <w:adjustRightInd w:val="0"/>
              <w:jc w:val="both"/>
              <w:rPr>
                <w:color w:val="000000"/>
                <w:sz w:val="18"/>
                <w:szCs w:val="18"/>
              </w:rPr>
            </w:pPr>
          </w:p>
        </w:tc>
      </w:tr>
    </w:tbl>
    <w:p w14:paraId="115081A5"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52854230" w14:textId="77777777">
        <w:tblPrEx>
          <w:tblCellMar>
            <w:top w:w="0" w:type="dxa"/>
            <w:left w:w="0" w:type="dxa"/>
            <w:bottom w:w="0" w:type="dxa"/>
            <w:right w:w="0" w:type="dxa"/>
          </w:tblCellMar>
        </w:tblPrEx>
        <w:tc>
          <w:tcPr>
            <w:tcW w:w="600" w:type="dxa"/>
            <w:tcBorders>
              <w:top w:val="nil"/>
              <w:left w:val="nil"/>
              <w:bottom w:val="nil"/>
              <w:right w:val="nil"/>
            </w:tcBorders>
          </w:tcPr>
          <w:bookmarkStart w:id="16" w:name="co_footnote_B00082041287330_1"/>
          <w:bookmarkEnd w:id="16"/>
          <w:p w14:paraId="588A5535"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"#co_footnoteReference_B00082041287330_ID0" </w:instrText>
            </w:r>
            <w:r w:rsidR="00F61700">
              <w:rPr>
                <w:color w:val="000000"/>
              </w:rPr>
            </w:r>
            <w:r>
              <w:rPr>
                <w:color w:val="000000"/>
              </w:rPr>
              <w:fldChar w:fldCharType="separate"/>
            </w:r>
            <w:r>
              <w:rPr>
                <w:color w:val="000000"/>
                <w:vertAlign w:val="superscript"/>
              </w:rPr>
              <w:t>7</w:t>
            </w:r>
            <w:r>
              <w:rPr>
                <w:color w:val="000000"/>
              </w:rPr>
              <w:fldChar w:fldCharType="end"/>
            </w:r>
          </w:p>
          <w:p w14:paraId="4DF3A9EB"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17CA8A25" w14:textId="77777777" w:rsidR="00793DC4" w:rsidRDefault="00793DC4">
            <w:pPr>
              <w:widowControl w:val="0"/>
              <w:autoSpaceDE w:val="0"/>
              <w:autoSpaceDN w:val="0"/>
              <w:adjustRightInd w:val="0"/>
              <w:jc w:val="both"/>
              <w:rPr>
                <w:color w:val="000000"/>
                <w:sz w:val="18"/>
                <w:szCs w:val="18"/>
              </w:rPr>
            </w:pPr>
            <w:hyperlink r:id="rId75" w:history="1">
              <w:r>
                <w:rPr>
                  <w:i/>
                  <w:iCs/>
                  <w:color w:val="000000"/>
                  <w:sz w:val="18"/>
                  <w:szCs w:val="18"/>
                </w:rPr>
                <w:t>In re Schering Plough Corp. Intron/</w:t>
              </w:r>
              <w:proofErr w:type="spellStart"/>
              <w:r>
                <w:rPr>
                  <w:i/>
                  <w:iCs/>
                  <w:color w:val="000000"/>
                  <w:sz w:val="18"/>
                  <w:szCs w:val="18"/>
                </w:rPr>
                <w:t>Temodar</w:t>
              </w:r>
              <w:proofErr w:type="spellEnd"/>
              <w:r>
                <w:rPr>
                  <w:i/>
                  <w:iCs/>
                  <w:color w:val="000000"/>
                  <w:sz w:val="18"/>
                  <w:szCs w:val="18"/>
                </w:rPr>
                <w:t xml:space="preserve"> Consumer Class Action</w:t>
              </w:r>
              <w:r>
                <w:rPr>
                  <w:color w:val="000000"/>
                  <w:sz w:val="18"/>
                  <w:szCs w:val="18"/>
                </w:rPr>
                <w:t>, 678 F.3d 235, 239 (3d Cir. 2012)</w:t>
              </w:r>
            </w:hyperlink>
            <w:r>
              <w:rPr>
                <w:color w:val="000000"/>
                <w:sz w:val="18"/>
                <w:szCs w:val="18"/>
              </w:rPr>
              <w:t xml:space="preserve"> (quoting </w:t>
            </w:r>
            <w:hyperlink r:id="rId76" w:history="1">
              <w:r>
                <w:rPr>
                  <w:color w:val="000000"/>
                  <w:sz w:val="18"/>
                  <w:szCs w:val="18"/>
                </w:rPr>
                <w:t>21 U.S.C. § 355(d)</w:t>
              </w:r>
            </w:hyperlink>
            <w:r>
              <w:rPr>
                <w:color w:val="000000"/>
                <w:sz w:val="18"/>
                <w:szCs w:val="18"/>
              </w:rPr>
              <w:t>).</w:t>
            </w:r>
          </w:p>
          <w:p w14:paraId="502264E3" w14:textId="77777777" w:rsidR="00793DC4" w:rsidRDefault="00793DC4">
            <w:pPr>
              <w:widowControl w:val="0"/>
              <w:autoSpaceDE w:val="0"/>
              <w:autoSpaceDN w:val="0"/>
              <w:adjustRightInd w:val="0"/>
              <w:jc w:val="both"/>
              <w:rPr>
                <w:color w:val="000000"/>
                <w:sz w:val="18"/>
                <w:szCs w:val="18"/>
              </w:rPr>
            </w:pPr>
          </w:p>
        </w:tc>
      </w:tr>
    </w:tbl>
    <w:p w14:paraId="5D491097"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2B69729C" w14:textId="77777777">
        <w:tblPrEx>
          <w:tblCellMar>
            <w:top w:w="0" w:type="dxa"/>
            <w:left w:w="0" w:type="dxa"/>
            <w:bottom w:w="0" w:type="dxa"/>
            <w:right w:w="0" w:type="dxa"/>
          </w:tblCellMar>
        </w:tblPrEx>
        <w:tc>
          <w:tcPr>
            <w:tcW w:w="600" w:type="dxa"/>
            <w:tcBorders>
              <w:top w:val="nil"/>
              <w:left w:val="nil"/>
              <w:bottom w:val="nil"/>
              <w:right w:val="nil"/>
            </w:tcBorders>
          </w:tcPr>
          <w:bookmarkStart w:id="17" w:name="co_footnote_B00092041287330_1"/>
          <w:bookmarkEnd w:id="17"/>
          <w:p w14:paraId="570E52EF"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"#co_footnoteReference_B00092041287330_ID0" </w:instrText>
            </w:r>
            <w:r w:rsidR="00F61700">
              <w:rPr>
                <w:color w:val="000000"/>
              </w:rPr>
            </w:r>
            <w:r>
              <w:rPr>
                <w:color w:val="000000"/>
              </w:rPr>
              <w:fldChar w:fldCharType="separate"/>
            </w:r>
            <w:r>
              <w:rPr>
                <w:color w:val="000000"/>
                <w:vertAlign w:val="superscript"/>
              </w:rPr>
              <w:t>8</w:t>
            </w:r>
            <w:r>
              <w:rPr>
                <w:color w:val="000000"/>
              </w:rPr>
              <w:fldChar w:fldCharType="end"/>
            </w:r>
          </w:p>
          <w:p w14:paraId="5B90921C"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54421C9B" w14:textId="77777777" w:rsidR="00793DC4" w:rsidRDefault="00793DC4">
            <w:pPr>
              <w:widowControl w:val="0"/>
              <w:autoSpaceDE w:val="0"/>
              <w:autoSpaceDN w:val="0"/>
              <w:adjustRightInd w:val="0"/>
              <w:jc w:val="both"/>
              <w:rPr>
                <w:color w:val="000000"/>
                <w:sz w:val="18"/>
                <w:szCs w:val="18"/>
              </w:rPr>
            </w:pPr>
            <w:hyperlink r:id="rId77" w:history="1">
              <w:r>
                <w:rPr>
                  <w:color w:val="000000"/>
                  <w:sz w:val="18"/>
                  <w:szCs w:val="18"/>
                </w:rPr>
                <w:t>21 C.F.R. § 314.105(b), (c)</w:t>
              </w:r>
            </w:hyperlink>
            <w:r>
              <w:rPr>
                <w:color w:val="000000"/>
                <w:sz w:val="18"/>
                <w:szCs w:val="18"/>
              </w:rPr>
              <w:t>.</w:t>
            </w:r>
          </w:p>
          <w:p w14:paraId="07503763" w14:textId="77777777" w:rsidR="00793DC4" w:rsidRDefault="00793DC4">
            <w:pPr>
              <w:widowControl w:val="0"/>
              <w:autoSpaceDE w:val="0"/>
              <w:autoSpaceDN w:val="0"/>
              <w:adjustRightInd w:val="0"/>
              <w:jc w:val="both"/>
              <w:rPr>
                <w:color w:val="000000"/>
                <w:sz w:val="18"/>
                <w:szCs w:val="18"/>
              </w:rPr>
            </w:pPr>
          </w:p>
        </w:tc>
      </w:tr>
    </w:tbl>
    <w:p w14:paraId="075E9382" w14:textId="77777777" w:rsidR="00793DC4" w:rsidRDefault="00793DC4">
      <w:pPr>
        <w:widowControl w:val="0"/>
        <w:autoSpaceDE w:val="0"/>
        <w:autoSpaceDN w:val="0"/>
        <w:adjustRightInd w:val="0"/>
        <w:jc w:val="both"/>
        <w:rPr>
          <w:color w:val="000000"/>
        </w:rPr>
      </w:pPr>
    </w:p>
    <w:p w14:paraId="524D849E" w14:textId="77777777" w:rsidR="00793DC4" w:rsidRDefault="00793DC4">
      <w:pPr>
        <w:widowControl w:val="0"/>
        <w:autoSpaceDE w:val="0"/>
        <w:autoSpaceDN w:val="0"/>
        <w:adjustRightInd w:val="0"/>
        <w:jc w:val="both"/>
        <w:rPr>
          <w:color w:val="000000"/>
          <w:sz w:val="16"/>
          <w:szCs w:val="16"/>
        </w:rPr>
      </w:pPr>
      <w:r>
        <w:rPr>
          <w:color w:val="000000"/>
        </w:rPr>
        <w:t>Drug labels includes two sections relevant to this litigation: a “Warnings and Precautions” section and an “Adverse Reactions” section. The Warnings and Precautions section must describe “clinically significant adverse reactions,” including any that are “serious even if infrequent.”</w:t>
      </w:r>
      <w:bookmarkStart w:id="18" w:name="co_footnoteReference_B00102041287330_ID0"/>
      <w:bookmarkEnd w:id="18"/>
      <w:r>
        <w:rPr>
          <w:color w:val="000000"/>
          <w:sz w:val="16"/>
          <w:szCs w:val="16"/>
        </w:rPr>
        <w:fldChar w:fldCharType="begin"/>
      </w:r>
      <w:r>
        <w:rPr>
          <w:color w:val="000000"/>
          <w:sz w:val="16"/>
          <w:szCs w:val="16"/>
        </w:rPr>
        <w:instrText xml:space="preserve">HYPERLINK "#co_footnote_B00102041287330_1" </w:instrText>
      </w:r>
      <w:r w:rsidR="00F61700">
        <w:rPr>
          <w:color w:val="000000"/>
          <w:sz w:val="16"/>
          <w:szCs w:val="16"/>
        </w:rPr>
      </w:r>
      <w:r>
        <w:rPr>
          <w:color w:val="000000"/>
          <w:sz w:val="16"/>
          <w:szCs w:val="16"/>
        </w:rPr>
        <w:fldChar w:fldCharType="separate"/>
      </w:r>
      <w:r>
        <w:rPr>
          <w:color w:val="000000"/>
          <w:sz w:val="16"/>
          <w:szCs w:val="16"/>
          <w:vertAlign w:val="superscript"/>
        </w:rPr>
        <w:t>9</w:t>
      </w:r>
      <w:r>
        <w:rPr>
          <w:color w:val="000000"/>
          <w:sz w:val="16"/>
          <w:szCs w:val="16"/>
        </w:rPr>
        <w:fldChar w:fldCharType="end"/>
      </w:r>
      <w:r>
        <w:rPr>
          <w:color w:val="000000"/>
        </w:rPr>
        <w:t xml:space="preserve"> The Adverse Reactions section requires a description of “the overall adverse reaction profile of the drug based on the entire safety database,” including a list of all “undesirable effect[s], reasonably associated with use of a drug.”</w:t>
      </w:r>
      <w:bookmarkStart w:id="19" w:name="co_footnoteReference_B00112041287330_ID0"/>
      <w:bookmarkEnd w:id="19"/>
      <w:r>
        <w:rPr>
          <w:color w:val="000000"/>
          <w:sz w:val="16"/>
          <w:szCs w:val="16"/>
        </w:rPr>
        <w:fldChar w:fldCharType="begin"/>
      </w:r>
      <w:r>
        <w:rPr>
          <w:color w:val="000000"/>
          <w:sz w:val="16"/>
          <w:szCs w:val="16"/>
        </w:rPr>
        <w:instrText xml:space="preserve">HYPERLINK "#co_footnote_B00112041287330_1" </w:instrText>
      </w:r>
      <w:r w:rsidR="00F61700">
        <w:rPr>
          <w:color w:val="000000"/>
          <w:sz w:val="16"/>
          <w:szCs w:val="16"/>
        </w:rPr>
      </w:r>
      <w:r>
        <w:rPr>
          <w:color w:val="000000"/>
          <w:sz w:val="16"/>
          <w:szCs w:val="16"/>
        </w:rPr>
        <w:fldChar w:fldCharType="separate"/>
      </w:r>
      <w:r>
        <w:rPr>
          <w:color w:val="000000"/>
          <w:sz w:val="16"/>
          <w:szCs w:val="16"/>
          <w:vertAlign w:val="superscript"/>
        </w:rPr>
        <w:t>10</w:t>
      </w:r>
      <w:r>
        <w:rPr>
          <w:color w:val="000000"/>
          <w:sz w:val="16"/>
          <w:szCs w:val="16"/>
        </w:rPr>
        <w:fldChar w:fldCharType="end"/>
      </w:r>
    </w:p>
    <w:p w14:paraId="02E5898E"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15887FC9" w14:textId="77777777">
        <w:tblPrEx>
          <w:tblCellMar>
            <w:top w:w="0" w:type="dxa"/>
            <w:left w:w="0" w:type="dxa"/>
            <w:bottom w:w="0" w:type="dxa"/>
            <w:right w:w="0" w:type="dxa"/>
          </w:tblCellMar>
        </w:tblPrEx>
        <w:tc>
          <w:tcPr>
            <w:tcW w:w="600" w:type="dxa"/>
            <w:tcBorders>
              <w:top w:val="nil"/>
              <w:left w:val="nil"/>
              <w:bottom w:val="nil"/>
              <w:right w:val="nil"/>
            </w:tcBorders>
          </w:tcPr>
          <w:bookmarkStart w:id="20" w:name="co_footnote_B00102041287330_1"/>
          <w:bookmarkEnd w:id="20"/>
          <w:p w14:paraId="3ADAAC22"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"#co_footnoteReference_B00102041287330_ID0" </w:instrText>
            </w:r>
            <w:r w:rsidR="00F61700">
              <w:rPr>
                <w:color w:val="000000"/>
              </w:rPr>
            </w:r>
            <w:r>
              <w:rPr>
                <w:color w:val="000000"/>
              </w:rPr>
              <w:fldChar w:fldCharType="separate"/>
            </w:r>
            <w:r>
              <w:rPr>
                <w:color w:val="000000"/>
                <w:vertAlign w:val="superscript"/>
              </w:rPr>
              <w:t>9</w:t>
            </w:r>
            <w:r>
              <w:rPr>
                <w:color w:val="000000"/>
              </w:rPr>
              <w:fldChar w:fldCharType="end"/>
            </w:r>
          </w:p>
          <w:p w14:paraId="720A59E2"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12273987" w14:textId="77777777" w:rsidR="00793DC4" w:rsidRDefault="00793DC4">
            <w:pPr>
              <w:widowControl w:val="0"/>
              <w:autoSpaceDE w:val="0"/>
              <w:autoSpaceDN w:val="0"/>
              <w:adjustRightInd w:val="0"/>
              <w:jc w:val="both"/>
              <w:rPr>
                <w:color w:val="000000"/>
                <w:sz w:val="18"/>
                <w:szCs w:val="18"/>
              </w:rPr>
            </w:pPr>
            <w:r>
              <w:rPr>
                <w:i/>
                <w:iCs/>
                <w:color w:val="000000"/>
                <w:sz w:val="18"/>
                <w:szCs w:val="18"/>
              </w:rPr>
              <w:t>Id</w:t>
            </w:r>
            <w:r>
              <w:rPr>
                <w:color w:val="000000"/>
                <w:sz w:val="18"/>
                <w:szCs w:val="18"/>
              </w:rPr>
              <w:t>. § 201.57(c)(6)(</w:t>
            </w:r>
            <w:proofErr w:type="spellStart"/>
            <w:r>
              <w:rPr>
                <w:color w:val="000000"/>
                <w:sz w:val="18"/>
                <w:szCs w:val="18"/>
              </w:rPr>
              <w:t>i</w:t>
            </w:r>
            <w:proofErr w:type="spellEnd"/>
            <w:r>
              <w:rPr>
                <w:color w:val="000000"/>
                <w:sz w:val="18"/>
                <w:szCs w:val="18"/>
              </w:rPr>
              <w:t>).</w:t>
            </w:r>
          </w:p>
          <w:p w14:paraId="05D69E6D" w14:textId="77777777" w:rsidR="00793DC4" w:rsidRDefault="00793DC4">
            <w:pPr>
              <w:widowControl w:val="0"/>
              <w:autoSpaceDE w:val="0"/>
              <w:autoSpaceDN w:val="0"/>
              <w:adjustRightInd w:val="0"/>
              <w:jc w:val="both"/>
              <w:rPr>
                <w:color w:val="000000"/>
                <w:sz w:val="18"/>
                <w:szCs w:val="18"/>
              </w:rPr>
            </w:pPr>
          </w:p>
        </w:tc>
      </w:tr>
    </w:tbl>
    <w:p w14:paraId="309B00BC"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3057B38C" w14:textId="77777777">
        <w:tblPrEx>
          <w:tblCellMar>
            <w:top w:w="0" w:type="dxa"/>
            <w:left w:w="0" w:type="dxa"/>
            <w:bottom w:w="0" w:type="dxa"/>
            <w:right w:w="0" w:type="dxa"/>
          </w:tblCellMar>
        </w:tblPrEx>
        <w:tc>
          <w:tcPr>
            <w:tcW w:w="600" w:type="dxa"/>
            <w:tcBorders>
              <w:top w:val="nil"/>
              <w:left w:val="nil"/>
              <w:bottom w:val="nil"/>
              <w:right w:val="nil"/>
            </w:tcBorders>
          </w:tcPr>
          <w:bookmarkStart w:id="21" w:name="co_footnote_B00112041287330_1"/>
          <w:bookmarkEnd w:id="21"/>
          <w:p w14:paraId="45780769"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"#co_footnoteReference_B00112041287330_ID0" </w:instrText>
            </w:r>
            <w:r w:rsidR="00F61700">
              <w:rPr>
                <w:color w:val="000000"/>
              </w:rPr>
            </w:r>
            <w:r>
              <w:rPr>
                <w:color w:val="000000"/>
              </w:rPr>
              <w:fldChar w:fldCharType="separate"/>
            </w:r>
            <w:r>
              <w:rPr>
                <w:color w:val="000000"/>
                <w:vertAlign w:val="superscript"/>
              </w:rPr>
              <w:t>10</w:t>
            </w:r>
            <w:r>
              <w:rPr>
                <w:color w:val="000000"/>
              </w:rPr>
              <w:fldChar w:fldCharType="end"/>
            </w:r>
          </w:p>
          <w:p w14:paraId="28C11C31"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13633D80" w14:textId="77777777" w:rsidR="00793DC4" w:rsidRDefault="00793DC4">
            <w:pPr>
              <w:widowControl w:val="0"/>
              <w:autoSpaceDE w:val="0"/>
              <w:autoSpaceDN w:val="0"/>
              <w:adjustRightInd w:val="0"/>
              <w:jc w:val="both"/>
              <w:rPr>
                <w:color w:val="000000"/>
                <w:sz w:val="18"/>
                <w:szCs w:val="18"/>
              </w:rPr>
            </w:pPr>
            <w:r>
              <w:rPr>
                <w:i/>
                <w:iCs/>
                <w:color w:val="000000"/>
                <w:sz w:val="18"/>
                <w:szCs w:val="18"/>
              </w:rPr>
              <w:t>Id</w:t>
            </w:r>
            <w:r>
              <w:rPr>
                <w:color w:val="000000"/>
                <w:sz w:val="18"/>
                <w:szCs w:val="18"/>
              </w:rPr>
              <w:t>. § 201.57(c)(7).</w:t>
            </w:r>
          </w:p>
          <w:p w14:paraId="613B05BB" w14:textId="77777777" w:rsidR="00793DC4" w:rsidRDefault="00793DC4">
            <w:pPr>
              <w:widowControl w:val="0"/>
              <w:autoSpaceDE w:val="0"/>
              <w:autoSpaceDN w:val="0"/>
              <w:adjustRightInd w:val="0"/>
              <w:jc w:val="both"/>
              <w:rPr>
                <w:color w:val="000000"/>
                <w:sz w:val="18"/>
                <w:szCs w:val="18"/>
              </w:rPr>
            </w:pPr>
          </w:p>
        </w:tc>
      </w:tr>
    </w:tbl>
    <w:p w14:paraId="2F8FC8D1" w14:textId="77777777" w:rsidR="00793DC4" w:rsidRDefault="00793DC4">
      <w:pPr>
        <w:widowControl w:val="0"/>
        <w:autoSpaceDE w:val="0"/>
        <w:autoSpaceDN w:val="0"/>
        <w:adjustRightInd w:val="0"/>
        <w:jc w:val="both"/>
        <w:rPr>
          <w:color w:val="000000"/>
        </w:rPr>
      </w:pPr>
    </w:p>
    <w:p w14:paraId="3A17D44A" w14:textId="77777777" w:rsidR="00793DC4" w:rsidRDefault="00793DC4">
      <w:pPr>
        <w:widowControl w:val="0"/>
        <w:autoSpaceDE w:val="0"/>
        <w:autoSpaceDN w:val="0"/>
        <w:adjustRightInd w:val="0"/>
        <w:jc w:val="both"/>
        <w:rPr>
          <w:color w:val="000000"/>
          <w:sz w:val="16"/>
          <w:szCs w:val="16"/>
        </w:rPr>
      </w:pPr>
      <w:r>
        <w:rPr>
          <w:color w:val="000000"/>
        </w:rPr>
        <w:t>After a drug is approved, the FDA retains the authority to approve or require amendments to the drug’s label.</w:t>
      </w:r>
      <w:bookmarkStart w:id="22" w:name="co_footnoteReference_B00122041287330_ID0"/>
      <w:bookmarkEnd w:id="22"/>
      <w:r>
        <w:rPr>
          <w:color w:val="000000"/>
          <w:sz w:val="16"/>
          <w:szCs w:val="16"/>
        </w:rPr>
        <w:fldChar w:fldCharType="begin"/>
      </w:r>
      <w:r>
        <w:rPr>
          <w:color w:val="000000"/>
          <w:sz w:val="16"/>
          <w:szCs w:val="16"/>
        </w:rPr>
        <w:instrText xml:space="preserve">HYPERLINK "#co_footnote_B00122041287330_1" </w:instrText>
      </w:r>
      <w:r w:rsidR="00F61700">
        <w:rPr>
          <w:color w:val="000000"/>
          <w:sz w:val="16"/>
          <w:szCs w:val="16"/>
        </w:rPr>
      </w:r>
      <w:r>
        <w:rPr>
          <w:color w:val="000000"/>
          <w:sz w:val="16"/>
          <w:szCs w:val="16"/>
        </w:rPr>
        <w:fldChar w:fldCharType="separate"/>
      </w:r>
      <w:r>
        <w:rPr>
          <w:color w:val="000000"/>
          <w:sz w:val="16"/>
          <w:szCs w:val="16"/>
          <w:vertAlign w:val="superscript"/>
        </w:rPr>
        <w:t>11</w:t>
      </w:r>
      <w:r>
        <w:rPr>
          <w:color w:val="000000"/>
          <w:sz w:val="16"/>
          <w:szCs w:val="16"/>
        </w:rPr>
        <w:fldChar w:fldCharType="end"/>
      </w:r>
      <w:r>
        <w:rPr>
          <w:color w:val="000000"/>
        </w:rPr>
        <w:t xml:space="preserve"> The fundamental premise of the federal </w:t>
      </w:r>
      <w:proofErr w:type="gramStart"/>
      <w:r>
        <w:rPr>
          <w:color w:val="000000"/>
        </w:rPr>
        <w:t>drug labeling</w:t>
      </w:r>
      <w:proofErr w:type="gramEnd"/>
      <w:r>
        <w:rPr>
          <w:color w:val="000000"/>
        </w:rPr>
        <w:t xml:space="preserve"> scheme, however, is that “</w:t>
      </w:r>
      <w:r w:rsidRPr="00793DC4">
        <w:rPr>
          <w:color w:val="000000"/>
          <w:highlight w:val="yellow"/>
        </w:rPr>
        <w:t>manufacturers, not the FDA, bear primary responsibility for their drug labeling at all times.</w:t>
      </w:r>
      <w:r>
        <w:rPr>
          <w:color w:val="000000"/>
        </w:rPr>
        <w:t>”</w:t>
      </w:r>
      <w:bookmarkStart w:id="23" w:name="co_footnoteReference_B00132041287330_ID0"/>
      <w:bookmarkEnd w:id="23"/>
      <w:r>
        <w:rPr>
          <w:color w:val="000000"/>
          <w:sz w:val="16"/>
          <w:szCs w:val="16"/>
        </w:rPr>
        <w:fldChar w:fldCharType="begin"/>
      </w:r>
      <w:r>
        <w:rPr>
          <w:color w:val="000000"/>
          <w:sz w:val="16"/>
          <w:szCs w:val="16"/>
        </w:rPr>
        <w:instrText xml:space="preserve">HYPERLINK "#co_footnote_B00132041287330_1" </w:instrText>
      </w:r>
      <w:r w:rsidR="00F61700">
        <w:rPr>
          <w:color w:val="000000"/>
          <w:sz w:val="16"/>
          <w:szCs w:val="16"/>
        </w:rPr>
      </w:r>
      <w:r>
        <w:rPr>
          <w:color w:val="000000"/>
          <w:sz w:val="16"/>
          <w:szCs w:val="16"/>
        </w:rPr>
        <w:fldChar w:fldCharType="separate"/>
      </w:r>
      <w:r>
        <w:rPr>
          <w:color w:val="000000"/>
          <w:sz w:val="16"/>
          <w:szCs w:val="16"/>
          <w:vertAlign w:val="superscript"/>
        </w:rPr>
        <w:t>12</w:t>
      </w:r>
      <w:r>
        <w:rPr>
          <w:color w:val="000000"/>
          <w:sz w:val="16"/>
          <w:szCs w:val="16"/>
        </w:rPr>
        <w:fldChar w:fldCharType="end"/>
      </w:r>
      <w:r>
        <w:rPr>
          <w:color w:val="000000"/>
        </w:rPr>
        <w:t xml:space="preserve"> The manufacturer is charged not only “with crafting an adequate label” as an initial matter, but also “</w:t>
      </w:r>
      <w:r w:rsidRPr="00174EEF">
        <w:rPr>
          <w:color w:val="000000"/>
          <w:highlight w:val="yellow"/>
        </w:rPr>
        <w:t>with ensuring that its warnings remain adequate as long as the drug is on the market</w:t>
      </w:r>
      <w:r>
        <w:rPr>
          <w:color w:val="000000"/>
        </w:rPr>
        <w:t>.”</w:t>
      </w:r>
      <w:bookmarkStart w:id="24" w:name="co_footnoteReference_B00142041287330_ID0"/>
      <w:bookmarkEnd w:id="24"/>
      <w:r>
        <w:rPr>
          <w:color w:val="000000"/>
          <w:sz w:val="16"/>
          <w:szCs w:val="16"/>
        </w:rPr>
        <w:fldChar w:fldCharType="begin"/>
      </w:r>
      <w:r>
        <w:rPr>
          <w:color w:val="000000"/>
          <w:sz w:val="16"/>
          <w:szCs w:val="16"/>
        </w:rPr>
        <w:instrText xml:space="preserve">HYPERLINK "#co_footnote_B00142041287330_1" </w:instrText>
      </w:r>
      <w:r w:rsidR="00F61700">
        <w:rPr>
          <w:color w:val="000000"/>
          <w:sz w:val="16"/>
          <w:szCs w:val="16"/>
        </w:rPr>
      </w:r>
      <w:r>
        <w:rPr>
          <w:color w:val="000000"/>
          <w:sz w:val="16"/>
          <w:szCs w:val="16"/>
        </w:rPr>
        <w:fldChar w:fldCharType="separate"/>
      </w:r>
      <w:r>
        <w:rPr>
          <w:color w:val="000000"/>
          <w:sz w:val="16"/>
          <w:szCs w:val="16"/>
          <w:vertAlign w:val="superscript"/>
        </w:rPr>
        <w:t>13</w:t>
      </w:r>
      <w:r>
        <w:rPr>
          <w:color w:val="000000"/>
          <w:sz w:val="16"/>
          <w:szCs w:val="16"/>
        </w:rPr>
        <w:fldChar w:fldCharType="end"/>
      </w:r>
    </w:p>
    <w:p w14:paraId="3F37F6F8"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469B3778" w14:textId="77777777">
        <w:tblPrEx>
          <w:tblCellMar>
            <w:top w:w="0" w:type="dxa"/>
            <w:left w:w="0" w:type="dxa"/>
            <w:bottom w:w="0" w:type="dxa"/>
            <w:right w:w="0" w:type="dxa"/>
          </w:tblCellMar>
        </w:tblPrEx>
        <w:tc>
          <w:tcPr>
            <w:tcW w:w="600" w:type="dxa"/>
            <w:tcBorders>
              <w:top w:val="nil"/>
              <w:left w:val="nil"/>
              <w:bottom w:val="nil"/>
              <w:right w:val="nil"/>
            </w:tcBorders>
          </w:tcPr>
          <w:bookmarkStart w:id="25" w:name="co_footnote_B00122041287330_1"/>
          <w:bookmarkEnd w:id="25"/>
          <w:p w14:paraId="610A6AFF"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"#co_footnoteReference_B00122041287330_ID0" </w:instrText>
            </w:r>
            <w:r w:rsidR="00F61700">
              <w:rPr>
                <w:color w:val="000000"/>
              </w:rPr>
            </w:r>
            <w:r>
              <w:rPr>
                <w:color w:val="000000"/>
              </w:rPr>
              <w:fldChar w:fldCharType="separate"/>
            </w:r>
            <w:r>
              <w:rPr>
                <w:color w:val="000000"/>
                <w:vertAlign w:val="superscript"/>
              </w:rPr>
              <w:t>11</w:t>
            </w:r>
            <w:r>
              <w:rPr>
                <w:color w:val="000000"/>
              </w:rPr>
              <w:fldChar w:fldCharType="end"/>
            </w:r>
          </w:p>
          <w:p w14:paraId="67B7AFD8"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0CE1F14D" w14:textId="77777777" w:rsidR="00793DC4" w:rsidRDefault="00793DC4">
            <w:pPr>
              <w:widowControl w:val="0"/>
              <w:autoSpaceDE w:val="0"/>
              <w:autoSpaceDN w:val="0"/>
              <w:adjustRightInd w:val="0"/>
              <w:jc w:val="both"/>
              <w:rPr>
                <w:color w:val="000000"/>
                <w:sz w:val="18"/>
                <w:szCs w:val="18"/>
              </w:rPr>
            </w:pPr>
            <w:hyperlink r:id="rId78" w:history="1">
              <w:r>
                <w:rPr>
                  <w:color w:val="000000"/>
                  <w:sz w:val="18"/>
                  <w:szCs w:val="18"/>
                </w:rPr>
                <w:t>21 U.S.C. § 355(o)(4)</w:t>
              </w:r>
            </w:hyperlink>
            <w:r>
              <w:rPr>
                <w:color w:val="000000"/>
                <w:sz w:val="18"/>
                <w:szCs w:val="18"/>
              </w:rPr>
              <w:t xml:space="preserve">; 21; C.F.R. § 314.93; </w:t>
            </w:r>
            <w:r>
              <w:rPr>
                <w:i/>
                <w:iCs/>
                <w:color w:val="000000"/>
                <w:sz w:val="18"/>
                <w:szCs w:val="18"/>
              </w:rPr>
              <w:t xml:space="preserve">see also </w:t>
            </w:r>
            <w:hyperlink r:id="rId79" w:history="1">
              <w:r>
                <w:rPr>
                  <w:i/>
                  <w:iCs/>
                  <w:color w:val="000000"/>
                  <w:sz w:val="18"/>
                  <w:szCs w:val="18"/>
                </w:rPr>
                <w:t>Wyeth</w:t>
              </w:r>
              <w:r>
                <w:rPr>
                  <w:color w:val="000000"/>
                  <w:sz w:val="18"/>
                  <w:szCs w:val="18"/>
                </w:rPr>
                <w:t xml:space="preserve">, 555 U.S. at 567, 129 </w:t>
              </w:r>
              <w:proofErr w:type="spellStart"/>
              <w:r>
                <w:rPr>
                  <w:color w:val="000000"/>
                  <w:sz w:val="18"/>
                  <w:szCs w:val="18"/>
                </w:rPr>
                <w:t>S.Ct</w:t>
              </w:r>
              <w:proofErr w:type="spellEnd"/>
              <w:r>
                <w:rPr>
                  <w:color w:val="000000"/>
                  <w:sz w:val="18"/>
                  <w:szCs w:val="18"/>
                </w:rPr>
                <w:t>. 1187</w:t>
              </w:r>
            </w:hyperlink>
            <w:r>
              <w:rPr>
                <w:color w:val="000000"/>
                <w:sz w:val="18"/>
                <w:szCs w:val="18"/>
              </w:rPr>
              <w:t xml:space="preserve"> (observing that the 2007 FDCA amendments “granted the FDA statutory authority to require a manufacturer to change its drug label based on safety information that becomes available after a drug’s initial approval”).</w:t>
            </w:r>
          </w:p>
          <w:p w14:paraId="52F2C5CD" w14:textId="77777777" w:rsidR="00793DC4" w:rsidRDefault="00793DC4">
            <w:pPr>
              <w:widowControl w:val="0"/>
              <w:autoSpaceDE w:val="0"/>
              <w:autoSpaceDN w:val="0"/>
              <w:adjustRightInd w:val="0"/>
              <w:jc w:val="both"/>
              <w:rPr>
                <w:color w:val="000000"/>
                <w:sz w:val="18"/>
                <w:szCs w:val="18"/>
              </w:rPr>
            </w:pPr>
          </w:p>
        </w:tc>
      </w:tr>
    </w:tbl>
    <w:p w14:paraId="4BABC2F2"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0B08649C" w14:textId="77777777">
        <w:tblPrEx>
          <w:tblCellMar>
            <w:top w:w="0" w:type="dxa"/>
            <w:left w:w="0" w:type="dxa"/>
            <w:bottom w:w="0" w:type="dxa"/>
            <w:right w:w="0" w:type="dxa"/>
          </w:tblCellMar>
        </w:tblPrEx>
        <w:tc>
          <w:tcPr>
            <w:tcW w:w="600" w:type="dxa"/>
            <w:tcBorders>
              <w:top w:val="nil"/>
              <w:left w:val="nil"/>
              <w:bottom w:val="nil"/>
              <w:right w:val="nil"/>
            </w:tcBorders>
          </w:tcPr>
          <w:bookmarkStart w:id="26" w:name="co_footnote_B00132041287330_1"/>
          <w:bookmarkEnd w:id="26"/>
          <w:p w14:paraId="17629B47"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"#co_footnoteReference_B00132041287330_ID0" </w:instrText>
            </w:r>
            <w:r w:rsidR="00F61700">
              <w:rPr>
                <w:color w:val="000000"/>
              </w:rPr>
            </w:r>
            <w:r>
              <w:rPr>
                <w:color w:val="000000"/>
              </w:rPr>
              <w:fldChar w:fldCharType="separate"/>
            </w:r>
            <w:r>
              <w:rPr>
                <w:color w:val="000000"/>
                <w:vertAlign w:val="superscript"/>
              </w:rPr>
              <w:t>12</w:t>
            </w:r>
            <w:r>
              <w:rPr>
                <w:color w:val="000000"/>
              </w:rPr>
              <w:fldChar w:fldCharType="end"/>
            </w:r>
          </w:p>
          <w:p w14:paraId="3CEBB2B5"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3933A145" w14:textId="77777777" w:rsidR="00793DC4" w:rsidRDefault="00793DC4">
            <w:pPr>
              <w:widowControl w:val="0"/>
              <w:autoSpaceDE w:val="0"/>
              <w:autoSpaceDN w:val="0"/>
              <w:adjustRightInd w:val="0"/>
              <w:jc w:val="both"/>
              <w:rPr>
                <w:color w:val="000000"/>
                <w:sz w:val="18"/>
                <w:szCs w:val="18"/>
              </w:rPr>
            </w:pPr>
            <w:hyperlink r:id="rId80" w:history="1">
              <w:r>
                <w:rPr>
                  <w:i/>
                  <w:iCs/>
                  <w:color w:val="000000"/>
                  <w:sz w:val="18"/>
                  <w:szCs w:val="18"/>
                </w:rPr>
                <w:t>Wyeth</w:t>
              </w:r>
              <w:r>
                <w:rPr>
                  <w:color w:val="000000"/>
                  <w:sz w:val="18"/>
                  <w:szCs w:val="18"/>
                </w:rPr>
                <w:t xml:space="preserve">, 555 U.S. at 579, 129 </w:t>
              </w:r>
              <w:proofErr w:type="spellStart"/>
              <w:r>
                <w:rPr>
                  <w:color w:val="000000"/>
                  <w:sz w:val="18"/>
                  <w:szCs w:val="18"/>
                </w:rPr>
                <w:t>S.Ct</w:t>
              </w:r>
              <w:proofErr w:type="spellEnd"/>
              <w:r>
                <w:rPr>
                  <w:color w:val="000000"/>
                  <w:sz w:val="18"/>
                  <w:szCs w:val="18"/>
                </w:rPr>
                <w:t>. 1187</w:t>
              </w:r>
            </w:hyperlink>
            <w:r>
              <w:rPr>
                <w:color w:val="000000"/>
                <w:sz w:val="18"/>
                <w:szCs w:val="18"/>
              </w:rPr>
              <w:t xml:space="preserve">; </w:t>
            </w:r>
            <w:r>
              <w:rPr>
                <w:i/>
                <w:iCs/>
                <w:color w:val="000000"/>
                <w:sz w:val="18"/>
                <w:szCs w:val="18"/>
              </w:rPr>
              <w:t>see also</w:t>
            </w:r>
            <w:r>
              <w:rPr>
                <w:color w:val="000000"/>
                <w:sz w:val="18"/>
                <w:szCs w:val="18"/>
              </w:rPr>
              <w:t xml:space="preserve"> </w:t>
            </w:r>
            <w:hyperlink r:id="rId81" w:history="1">
              <w:r>
                <w:rPr>
                  <w:color w:val="000000"/>
                  <w:sz w:val="18"/>
                  <w:szCs w:val="18"/>
                </w:rPr>
                <w:t>21 U.S.C. § 355(o)(4)(I)</w:t>
              </w:r>
            </w:hyperlink>
            <w:r>
              <w:rPr>
                <w:color w:val="000000"/>
                <w:sz w:val="18"/>
                <w:szCs w:val="18"/>
              </w:rPr>
              <w:t xml:space="preserve"> (“Rule of construction” clarifying that the 2007 amendments to the FDCA “shall not be construed to affect the responsibility of the responsible person ... to maintain its label in accordance with existing requirements”).</w:t>
            </w:r>
          </w:p>
          <w:p w14:paraId="0CBEB3E7" w14:textId="77777777" w:rsidR="00793DC4" w:rsidRDefault="00793DC4">
            <w:pPr>
              <w:widowControl w:val="0"/>
              <w:autoSpaceDE w:val="0"/>
              <w:autoSpaceDN w:val="0"/>
              <w:adjustRightInd w:val="0"/>
              <w:jc w:val="both"/>
              <w:rPr>
                <w:color w:val="000000"/>
                <w:sz w:val="18"/>
                <w:szCs w:val="18"/>
              </w:rPr>
            </w:pPr>
          </w:p>
        </w:tc>
      </w:tr>
    </w:tbl>
    <w:p w14:paraId="5C087748"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4E25135C" w14:textId="77777777">
        <w:tblPrEx>
          <w:tblCellMar>
            <w:top w:w="0" w:type="dxa"/>
            <w:left w:w="0" w:type="dxa"/>
            <w:bottom w:w="0" w:type="dxa"/>
            <w:right w:w="0" w:type="dxa"/>
          </w:tblCellMar>
        </w:tblPrEx>
        <w:tc>
          <w:tcPr>
            <w:tcW w:w="600" w:type="dxa"/>
            <w:tcBorders>
              <w:top w:val="nil"/>
              <w:left w:val="nil"/>
              <w:bottom w:val="nil"/>
              <w:right w:val="nil"/>
            </w:tcBorders>
          </w:tcPr>
          <w:bookmarkStart w:id="27" w:name="co_footnote_B00142041287330_1"/>
          <w:bookmarkEnd w:id="27"/>
          <w:p w14:paraId="4BD4F15A"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"#co_footnoteReference_B00142041287330_ID0" </w:instrText>
            </w:r>
            <w:r w:rsidR="00F61700">
              <w:rPr>
                <w:color w:val="000000"/>
              </w:rPr>
            </w:r>
            <w:r>
              <w:rPr>
                <w:color w:val="000000"/>
              </w:rPr>
              <w:fldChar w:fldCharType="separate"/>
            </w:r>
            <w:r>
              <w:rPr>
                <w:color w:val="000000"/>
                <w:vertAlign w:val="superscript"/>
              </w:rPr>
              <w:t>13</w:t>
            </w:r>
            <w:r>
              <w:rPr>
                <w:color w:val="000000"/>
              </w:rPr>
              <w:fldChar w:fldCharType="end"/>
            </w:r>
          </w:p>
          <w:p w14:paraId="433BEEA0"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6D3E3D4C" w14:textId="77777777" w:rsidR="00793DC4" w:rsidRDefault="00793DC4">
            <w:pPr>
              <w:widowControl w:val="0"/>
              <w:autoSpaceDE w:val="0"/>
              <w:autoSpaceDN w:val="0"/>
              <w:adjustRightInd w:val="0"/>
              <w:jc w:val="both"/>
              <w:rPr>
                <w:color w:val="000000"/>
                <w:sz w:val="18"/>
                <w:szCs w:val="18"/>
              </w:rPr>
            </w:pPr>
            <w:hyperlink r:id="rId82" w:history="1">
              <w:r>
                <w:rPr>
                  <w:i/>
                  <w:iCs/>
                  <w:color w:val="000000"/>
                  <w:sz w:val="18"/>
                  <w:szCs w:val="18"/>
                </w:rPr>
                <w:t>Wyeth</w:t>
              </w:r>
              <w:r>
                <w:rPr>
                  <w:color w:val="000000"/>
                  <w:sz w:val="18"/>
                  <w:szCs w:val="18"/>
                </w:rPr>
                <w:t xml:space="preserve">, 555 U.S. at 571, 129 </w:t>
              </w:r>
              <w:proofErr w:type="spellStart"/>
              <w:r>
                <w:rPr>
                  <w:color w:val="000000"/>
                  <w:sz w:val="18"/>
                  <w:szCs w:val="18"/>
                </w:rPr>
                <w:t>S.Ct</w:t>
              </w:r>
              <w:proofErr w:type="spellEnd"/>
              <w:r>
                <w:rPr>
                  <w:color w:val="000000"/>
                  <w:sz w:val="18"/>
                  <w:szCs w:val="18"/>
                </w:rPr>
                <w:t>. 1187</w:t>
              </w:r>
            </w:hyperlink>
            <w:r>
              <w:rPr>
                <w:color w:val="000000"/>
                <w:sz w:val="18"/>
                <w:szCs w:val="18"/>
              </w:rPr>
              <w:t>.</w:t>
            </w:r>
          </w:p>
          <w:p w14:paraId="07C29043" w14:textId="77777777" w:rsidR="00793DC4" w:rsidRDefault="00793DC4">
            <w:pPr>
              <w:widowControl w:val="0"/>
              <w:autoSpaceDE w:val="0"/>
              <w:autoSpaceDN w:val="0"/>
              <w:adjustRightInd w:val="0"/>
              <w:jc w:val="both"/>
              <w:rPr>
                <w:color w:val="000000"/>
                <w:sz w:val="18"/>
                <w:szCs w:val="18"/>
              </w:rPr>
            </w:pPr>
          </w:p>
        </w:tc>
      </w:tr>
    </w:tbl>
    <w:p w14:paraId="7F649306" w14:textId="77777777" w:rsidR="00793DC4" w:rsidRDefault="00793DC4">
      <w:pPr>
        <w:widowControl w:val="0"/>
        <w:autoSpaceDE w:val="0"/>
        <w:autoSpaceDN w:val="0"/>
        <w:adjustRightInd w:val="0"/>
        <w:jc w:val="both"/>
        <w:rPr>
          <w:color w:val="000000"/>
        </w:rPr>
      </w:pPr>
    </w:p>
    <w:p w14:paraId="50694EE1" w14:textId="77777777" w:rsidR="00793DC4" w:rsidRDefault="00793DC4">
      <w:pPr>
        <w:widowControl w:val="0"/>
        <w:autoSpaceDE w:val="0"/>
        <w:autoSpaceDN w:val="0"/>
        <w:adjustRightInd w:val="0"/>
        <w:jc w:val="both"/>
        <w:rPr>
          <w:color w:val="000000"/>
        </w:rPr>
      </w:pPr>
      <w:r>
        <w:rPr>
          <w:color w:val="000000"/>
        </w:rPr>
        <w:t>A manufacturer can fulfill its responsibility to revise the warnings on a drug label in two ways.</w:t>
      </w:r>
    </w:p>
    <w:p w14:paraId="7303F7C2" w14:textId="77777777" w:rsidR="00793DC4" w:rsidRDefault="00793DC4">
      <w:pPr>
        <w:widowControl w:val="0"/>
        <w:autoSpaceDE w:val="0"/>
        <w:autoSpaceDN w:val="0"/>
        <w:adjustRightInd w:val="0"/>
        <w:jc w:val="both"/>
        <w:rPr>
          <w:color w:val="000000"/>
        </w:rPr>
      </w:pPr>
      <w:r>
        <w:rPr>
          <w:color w:val="000000"/>
        </w:rPr>
        <w:t> </w:t>
      </w:r>
    </w:p>
    <w:p w14:paraId="7A44CE80" w14:textId="77777777" w:rsidR="00793DC4" w:rsidRDefault="00793DC4">
      <w:pPr>
        <w:widowControl w:val="0"/>
        <w:autoSpaceDE w:val="0"/>
        <w:autoSpaceDN w:val="0"/>
        <w:adjustRightInd w:val="0"/>
        <w:jc w:val="both"/>
        <w:rPr>
          <w:color w:val="000000"/>
          <w:sz w:val="16"/>
          <w:szCs w:val="16"/>
        </w:rPr>
      </w:pPr>
      <w:r>
        <w:rPr>
          <w:b/>
          <w:bCs/>
          <w:i/>
          <w:iCs/>
          <w:color w:val="000000"/>
        </w:rPr>
        <w:t>First</w:t>
      </w:r>
      <w:r>
        <w:rPr>
          <w:color w:val="000000"/>
        </w:rPr>
        <w:t xml:space="preserve">, the “Changes Being Effected” (“CBE”) regulation permits a manufacturer to unilaterally change a drug label to </w:t>
      </w:r>
      <w:proofErr w:type="gramStart"/>
      <w:r>
        <w:rPr>
          <w:color w:val="000000"/>
        </w:rPr>
        <w:t>reflect</w:t>
      </w:r>
      <w:proofErr w:type="gramEnd"/>
      <w:r>
        <w:rPr>
          <w:color w:val="000000"/>
        </w:rPr>
        <w:t xml:space="preserve"> “newly acquired information,” subject to later FDA review and approval.</w:t>
      </w:r>
      <w:bookmarkStart w:id="28" w:name="co_footnoteReference_B00152041287330_ID0"/>
      <w:bookmarkEnd w:id="28"/>
      <w:r>
        <w:rPr>
          <w:color w:val="000000"/>
          <w:sz w:val="16"/>
          <w:szCs w:val="16"/>
        </w:rPr>
        <w:fldChar w:fldCharType="begin"/>
      </w:r>
      <w:r>
        <w:rPr>
          <w:color w:val="000000"/>
          <w:sz w:val="16"/>
          <w:szCs w:val="16"/>
        </w:rPr>
        <w:instrText xml:space="preserve">HYPERLINK "#co_footnote_B00152041287330_1" </w:instrText>
      </w:r>
      <w:r w:rsidR="00F61700">
        <w:rPr>
          <w:color w:val="000000"/>
          <w:sz w:val="16"/>
          <w:szCs w:val="16"/>
        </w:rPr>
      </w:r>
      <w:r>
        <w:rPr>
          <w:color w:val="000000"/>
          <w:sz w:val="16"/>
          <w:szCs w:val="16"/>
        </w:rPr>
        <w:fldChar w:fldCharType="separate"/>
      </w:r>
      <w:r>
        <w:rPr>
          <w:color w:val="000000"/>
          <w:sz w:val="16"/>
          <w:szCs w:val="16"/>
          <w:vertAlign w:val="superscript"/>
        </w:rPr>
        <w:t>14</w:t>
      </w:r>
      <w:r>
        <w:rPr>
          <w:color w:val="000000"/>
          <w:sz w:val="16"/>
          <w:szCs w:val="16"/>
        </w:rPr>
        <w:fldChar w:fldCharType="end"/>
      </w:r>
      <w:r>
        <w:rPr>
          <w:color w:val="000000"/>
        </w:rPr>
        <w:t xml:space="preserve"> Under the CBE regulation, the manufacturer may, upon filing a supplemental application with the FDA, change a label to “add or strengthen a contraindication, warning, precaution, or adverse reaction”; it need not wait for FDA approval.</w:t>
      </w:r>
      <w:bookmarkStart w:id="29" w:name="co_footnoteReference_B00162041287330_ID0"/>
      <w:bookmarkEnd w:id="29"/>
      <w:r>
        <w:rPr>
          <w:color w:val="000000"/>
          <w:sz w:val="16"/>
          <w:szCs w:val="16"/>
        </w:rPr>
        <w:fldChar w:fldCharType="begin"/>
      </w:r>
      <w:r>
        <w:rPr>
          <w:color w:val="000000"/>
          <w:sz w:val="16"/>
          <w:szCs w:val="16"/>
        </w:rPr>
        <w:instrText xml:space="preserve">HYPERLINK "#co_footnote_B00162041287330_1" </w:instrText>
      </w:r>
      <w:r w:rsidR="00F61700">
        <w:rPr>
          <w:color w:val="000000"/>
          <w:sz w:val="16"/>
          <w:szCs w:val="16"/>
        </w:rPr>
      </w:r>
      <w:r>
        <w:rPr>
          <w:color w:val="000000"/>
          <w:sz w:val="16"/>
          <w:szCs w:val="16"/>
        </w:rPr>
        <w:fldChar w:fldCharType="separate"/>
      </w:r>
      <w:r>
        <w:rPr>
          <w:color w:val="000000"/>
          <w:sz w:val="16"/>
          <w:szCs w:val="16"/>
          <w:vertAlign w:val="superscript"/>
        </w:rPr>
        <w:t>15</w:t>
      </w:r>
      <w:r>
        <w:rPr>
          <w:color w:val="000000"/>
          <w:sz w:val="16"/>
          <w:szCs w:val="16"/>
        </w:rPr>
        <w:fldChar w:fldCharType="end"/>
      </w:r>
      <w:r>
        <w:rPr>
          <w:color w:val="000000"/>
        </w:rPr>
        <w:t xml:space="preserve"> To add a warning to the Warnings and Precautions section through a CBE submission, “there need only be ‘reasonable’ evidence of a causal association with the drug, a standard that could be met by a wide range of evidence.”</w:t>
      </w:r>
      <w:bookmarkStart w:id="30" w:name="co_footnoteReference_B00172041287330_ID0"/>
      <w:bookmarkEnd w:id="30"/>
      <w:r>
        <w:rPr>
          <w:color w:val="000000"/>
          <w:sz w:val="16"/>
          <w:szCs w:val="16"/>
        </w:rPr>
        <w:fldChar w:fldCharType="begin"/>
      </w:r>
      <w:r>
        <w:rPr>
          <w:color w:val="000000"/>
          <w:sz w:val="16"/>
          <w:szCs w:val="16"/>
        </w:rPr>
        <w:instrText xml:space="preserve">HYPERLINK "#co_footnote_B00172041287330_1" </w:instrText>
      </w:r>
      <w:r w:rsidR="00F61700">
        <w:rPr>
          <w:color w:val="000000"/>
          <w:sz w:val="16"/>
          <w:szCs w:val="16"/>
        </w:rPr>
      </w:r>
      <w:r>
        <w:rPr>
          <w:color w:val="000000"/>
          <w:sz w:val="16"/>
          <w:szCs w:val="16"/>
        </w:rPr>
        <w:fldChar w:fldCharType="separate"/>
      </w:r>
      <w:r>
        <w:rPr>
          <w:color w:val="000000"/>
          <w:sz w:val="16"/>
          <w:szCs w:val="16"/>
          <w:vertAlign w:val="superscript"/>
        </w:rPr>
        <w:t>16</w:t>
      </w:r>
      <w:r>
        <w:rPr>
          <w:color w:val="000000"/>
          <w:sz w:val="16"/>
          <w:szCs w:val="16"/>
        </w:rPr>
        <w:fldChar w:fldCharType="end"/>
      </w:r>
      <w:r>
        <w:rPr>
          <w:color w:val="000000"/>
        </w:rPr>
        <w:t xml:space="preserve"> Thus, a manufacturer can amend the label to address potential adverse effects even if the evidence for a causal connection would “not also support a higher evidentiary standard, such as a finding that there is a ‘preponderance’ of evidence that a product actually causes a particular kind of adverse event.”</w:t>
      </w:r>
      <w:bookmarkStart w:id="31" w:name="co_footnoteReference_B00182041287330_ID0"/>
      <w:bookmarkEnd w:id="31"/>
      <w:r>
        <w:rPr>
          <w:color w:val="000000"/>
          <w:sz w:val="16"/>
          <w:szCs w:val="16"/>
        </w:rPr>
        <w:fldChar w:fldCharType="begin"/>
      </w:r>
      <w:r>
        <w:rPr>
          <w:color w:val="000000"/>
          <w:sz w:val="16"/>
          <w:szCs w:val="16"/>
        </w:rPr>
        <w:instrText xml:space="preserve">HYPERLINK "#co_footnote_B00182041287330_1" </w:instrText>
      </w:r>
      <w:r w:rsidR="00F61700">
        <w:rPr>
          <w:color w:val="000000"/>
          <w:sz w:val="16"/>
          <w:szCs w:val="16"/>
        </w:rPr>
      </w:r>
      <w:r>
        <w:rPr>
          <w:color w:val="000000"/>
          <w:sz w:val="16"/>
          <w:szCs w:val="16"/>
        </w:rPr>
        <w:fldChar w:fldCharType="separate"/>
      </w:r>
      <w:r>
        <w:rPr>
          <w:color w:val="000000"/>
          <w:sz w:val="16"/>
          <w:szCs w:val="16"/>
          <w:vertAlign w:val="superscript"/>
        </w:rPr>
        <w:t>17</w:t>
      </w:r>
      <w:r>
        <w:rPr>
          <w:color w:val="000000"/>
          <w:sz w:val="16"/>
          <w:szCs w:val="16"/>
        </w:rPr>
        <w:fldChar w:fldCharType="end"/>
      </w:r>
    </w:p>
    <w:p w14:paraId="3CB2FC9C"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68601D1E" w14:textId="77777777">
        <w:tblPrEx>
          <w:tblCellMar>
            <w:top w:w="0" w:type="dxa"/>
            <w:left w:w="0" w:type="dxa"/>
            <w:bottom w:w="0" w:type="dxa"/>
            <w:right w:w="0" w:type="dxa"/>
          </w:tblCellMar>
        </w:tblPrEx>
        <w:tc>
          <w:tcPr>
            <w:tcW w:w="600" w:type="dxa"/>
            <w:tcBorders>
              <w:top w:val="nil"/>
              <w:left w:val="nil"/>
              <w:bottom w:val="nil"/>
              <w:right w:val="nil"/>
            </w:tcBorders>
          </w:tcPr>
          <w:bookmarkStart w:id="32" w:name="co_footnote_B00152041287330_1"/>
          <w:bookmarkEnd w:id="32"/>
          <w:p w14:paraId="3991CD1B"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"#co_footnoteReference_B00152041287330_ID0" </w:instrText>
            </w:r>
            <w:r w:rsidR="00F61700">
              <w:rPr>
                <w:color w:val="000000"/>
              </w:rPr>
            </w:r>
            <w:r>
              <w:rPr>
                <w:color w:val="000000"/>
              </w:rPr>
              <w:fldChar w:fldCharType="separate"/>
            </w:r>
            <w:r>
              <w:rPr>
                <w:color w:val="000000"/>
                <w:vertAlign w:val="superscript"/>
              </w:rPr>
              <w:t>14</w:t>
            </w:r>
            <w:r>
              <w:rPr>
                <w:color w:val="000000"/>
              </w:rPr>
              <w:fldChar w:fldCharType="end"/>
            </w:r>
          </w:p>
          <w:p w14:paraId="297655E2"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3BC9871C" w14:textId="77777777" w:rsidR="00793DC4" w:rsidRDefault="00793DC4">
            <w:pPr>
              <w:widowControl w:val="0"/>
              <w:autoSpaceDE w:val="0"/>
              <w:autoSpaceDN w:val="0"/>
              <w:adjustRightInd w:val="0"/>
              <w:jc w:val="both"/>
              <w:rPr>
                <w:color w:val="000000"/>
                <w:sz w:val="18"/>
                <w:szCs w:val="18"/>
              </w:rPr>
            </w:pPr>
            <w:hyperlink r:id="rId83" w:history="1">
              <w:r>
                <w:rPr>
                  <w:color w:val="000000"/>
                  <w:sz w:val="18"/>
                  <w:szCs w:val="18"/>
                </w:rPr>
                <w:t>21 C.F.R. § 314.70(c)(6)(iii)</w:t>
              </w:r>
            </w:hyperlink>
            <w:proofErr w:type="gramStart"/>
            <w:r>
              <w:rPr>
                <w:color w:val="000000"/>
                <w:sz w:val="18"/>
                <w:szCs w:val="18"/>
              </w:rPr>
              <w:t>;</w:t>
            </w:r>
            <w:proofErr w:type="gramEnd"/>
            <w:r>
              <w:rPr>
                <w:color w:val="000000"/>
                <w:sz w:val="18"/>
                <w:szCs w:val="18"/>
              </w:rPr>
              <w:t xml:space="preserve"> </w:t>
            </w:r>
            <w:r>
              <w:rPr>
                <w:i/>
                <w:iCs/>
                <w:color w:val="000000"/>
                <w:sz w:val="18"/>
                <w:szCs w:val="18"/>
              </w:rPr>
              <w:t xml:space="preserve">see also </w:t>
            </w:r>
            <w:hyperlink r:id="rId84" w:history="1">
              <w:r>
                <w:rPr>
                  <w:i/>
                  <w:iCs/>
                  <w:color w:val="000000"/>
                  <w:sz w:val="18"/>
                  <w:szCs w:val="18"/>
                </w:rPr>
                <w:t>Wyeth</w:t>
              </w:r>
              <w:r>
                <w:rPr>
                  <w:color w:val="000000"/>
                  <w:sz w:val="18"/>
                  <w:szCs w:val="18"/>
                </w:rPr>
                <w:t xml:space="preserve">, 555 U.S. at 568, 129 </w:t>
              </w:r>
              <w:proofErr w:type="spellStart"/>
              <w:r>
                <w:rPr>
                  <w:color w:val="000000"/>
                  <w:sz w:val="18"/>
                  <w:szCs w:val="18"/>
                </w:rPr>
                <w:t>S.Ct</w:t>
              </w:r>
              <w:proofErr w:type="spellEnd"/>
              <w:r>
                <w:rPr>
                  <w:color w:val="000000"/>
                  <w:sz w:val="18"/>
                  <w:szCs w:val="18"/>
                </w:rPr>
                <w:t>. 1187</w:t>
              </w:r>
            </w:hyperlink>
            <w:r>
              <w:rPr>
                <w:color w:val="000000"/>
                <w:sz w:val="18"/>
                <w:szCs w:val="18"/>
              </w:rPr>
              <w:t xml:space="preserve"> (discussing CBE amendment process).</w:t>
            </w:r>
          </w:p>
          <w:p w14:paraId="3D510601" w14:textId="77777777" w:rsidR="00793DC4" w:rsidRDefault="00793DC4">
            <w:pPr>
              <w:widowControl w:val="0"/>
              <w:autoSpaceDE w:val="0"/>
              <w:autoSpaceDN w:val="0"/>
              <w:adjustRightInd w:val="0"/>
              <w:jc w:val="both"/>
              <w:rPr>
                <w:color w:val="000000"/>
                <w:sz w:val="18"/>
                <w:szCs w:val="18"/>
              </w:rPr>
            </w:pPr>
          </w:p>
        </w:tc>
      </w:tr>
    </w:tbl>
    <w:p w14:paraId="4A49F00C"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554AA81B" w14:textId="77777777">
        <w:tblPrEx>
          <w:tblCellMar>
            <w:top w:w="0" w:type="dxa"/>
            <w:left w:w="0" w:type="dxa"/>
            <w:bottom w:w="0" w:type="dxa"/>
            <w:right w:w="0" w:type="dxa"/>
          </w:tblCellMar>
        </w:tblPrEx>
        <w:tc>
          <w:tcPr>
            <w:tcW w:w="600" w:type="dxa"/>
            <w:tcBorders>
              <w:top w:val="nil"/>
              <w:left w:val="nil"/>
              <w:bottom w:val="nil"/>
              <w:right w:val="nil"/>
            </w:tcBorders>
          </w:tcPr>
          <w:bookmarkStart w:id="33" w:name="co_footnote_B00162041287330_1"/>
          <w:bookmarkEnd w:id="33"/>
          <w:p w14:paraId="118AE8A2"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"#co_footnoteReference_B00162041287330_ID0" </w:instrText>
            </w:r>
            <w:r w:rsidR="00F61700">
              <w:rPr>
                <w:color w:val="000000"/>
              </w:rPr>
            </w:r>
            <w:r>
              <w:rPr>
                <w:color w:val="000000"/>
              </w:rPr>
              <w:fldChar w:fldCharType="separate"/>
            </w:r>
            <w:r>
              <w:rPr>
                <w:color w:val="000000"/>
                <w:vertAlign w:val="superscript"/>
              </w:rPr>
              <w:t>15</w:t>
            </w:r>
            <w:r>
              <w:rPr>
                <w:color w:val="000000"/>
              </w:rPr>
              <w:fldChar w:fldCharType="end"/>
            </w:r>
          </w:p>
          <w:p w14:paraId="190B5463"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62B12305" w14:textId="77777777" w:rsidR="00793DC4" w:rsidRDefault="00793DC4">
            <w:pPr>
              <w:widowControl w:val="0"/>
              <w:autoSpaceDE w:val="0"/>
              <w:autoSpaceDN w:val="0"/>
              <w:adjustRightInd w:val="0"/>
              <w:jc w:val="both"/>
              <w:rPr>
                <w:color w:val="000000"/>
                <w:sz w:val="18"/>
                <w:szCs w:val="18"/>
              </w:rPr>
            </w:pPr>
            <w:hyperlink r:id="rId85" w:history="1">
              <w:r>
                <w:rPr>
                  <w:i/>
                  <w:iCs/>
                  <w:color w:val="000000"/>
                  <w:sz w:val="18"/>
                  <w:szCs w:val="18"/>
                </w:rPr>
                <w:t>Id</w:t>
              </w:r>
              <w:r>
                <w:rPr>
                  <w:color w:val="000000"/>
                  <w:sz w:val="18"/>
                  <w:szCs w:val="18"/>
                </w:rPr>
                <w:t>. § 314.70(c)(6)(iii)(A)</w:t>
              </w:r>
            </w:hyperlink>
            <w:r>
              <w:rPr>
                <w:color w:val="000000"/>
                <w:sz w:val="18"/>
                <w:szCs w:val="18"/>
              </w:rPr>
              <w:t>.</w:t>
            </w:r>
          </w:p>
          <w:p w14:paraId="4099547A" w14:textId="77777777" w:rsidR="00793DC4" w:rsidRDefault="00793DC4">
            <w:pPr>
              <w:widowControl w:val="0"/>
              <w:autoSpaceDE w:val="0"/>
              <w:autoSpaceDN w:val="0"/>
              <w:adjustRightInd w:val="0"/>
              <w:jc w:val="both"/>
              <w:rPr>
                <w:color w:val="000000"/>
                <w:sz w:val="18"/>
                <w:szCs w:val="18"/>
              </w:rPr>
            </w:pPr>
          </w:p>
        </w:tc>
      </w:tr>
    </w:tbl>
    <w:p w14:paraId="2C200135"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26871644" w14:textId="77777777">
        <w:tblPrEx>
          <w:tblCellMar>
            <w:top w:w="0" w:type="dxa"/>
            <w:left w:w="0" w:type="dxa"/>
            <w:bottom w:w="0" w:type="dxa"/>
            <w:right w:w="0" w:type="dxa"/>
          </w:tblCellMar>
        </w:tblPrEx>
        <w:tc>
          <w:tcPr>
            <w:tcW w:w="600" w:type="dxa"/>
            <w:tcBorders>
              <w:top w:val="nil"/>
              <w:left w:val="nil"/>
              <w:bottom w:val="nil"/>
              <w:right w:val="nil"/>
            </w:tcBorders>
          </w:tcPr>
          <w:bookmarkStart w:id="34" w:name="co_footnote_B00172041287330_1"/>
          <w:bookmarkEnd w:id="34"/>
          <w:p w14:paraId="62DB0938"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"#co_footnoteReference_B00172041287330_ID0" </w:instrText>
            </w:r>
            <w:r w:rsidR="00F61700">
              <w:rPr>
                <w:color w:val="000000"/>
              </w:rPr>
            </w:r>
            <w:r>
              <w:rPr>
                <w:color w:val="000000"/>
              </w:rPr>
              <w:fldChar w:fldCharType="separate"/>
            </w:r>
            <w:r>
              <w:rPr>
                <w:color w:val="000000"/>
                <w:vertAlign w:val="superscript"/>
              </w:rPr>
              <w:t>16</w:t>
            </w:r>
            <w:r>
              <w:rPr>
                <w:color w:val="000000"/>
              </w:rPr>
              <w:fldChar w:fldCharType="end"/>
            </w:r>
          </w:p>
          <w:p w14:paraId="07FDA7AD"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291654C4" w14:textId="77777777" w:rsidR="00793DC4" w:rsidRDefault="00793DC4">
            <w:pPr>
              <w:widowControl w:val="0"/>
              <w:autoSpaceDE w:val="0"/>
              <w:autoSpaceDN w:val="0"/>
              <w:adjustRightInd w:val="0"/>
              <w:jc w:val="both"/>
              <w:rPr>
                <w:color w:val="000000"/>
                <w:sz w:val="18"/>
                <w:szCs w:val="18"/>
              </w:rPr>
            </w:pPr>
            <w:hyperlink r:id="rId86" w:history="1">
              <w:r>
                <w:rPr>
                  <w:color w:val="000000"/>
                  <w:sz w:val="18"/>
                  <w:szCs w:val="18"/>
                </w:rPr>
                <w:t>73 Fed. Reg. 49,603, 49,604 (Aug. 22, 2008)</w:t>
              </w:r>
            </w:hyperlink>
            <w:r>
              <w:rPr>
                <w:color w:val="000000"/>
                <w:sz w:val="18"/>
                <w:szCs w:val="18"/>
              </w:rPr>
              <w:t xml:space="preserve"> (FDA notice regarding final amendment to CBE regulation); </w:t>
            </w:r>
            <w:r>
              <w:rPr>
                <w:i/>
                <w:iCs/>
                <w:color w:val="000000"/>
                <w:sz w:val="18"/>
                <w:szCs w:val="18"/>
              </w:rPr>
              <w:t>see also</w:t>
            </w:r>
            <w:r>
              <w:rPr>
                <w:color w:val="000000"/>
                <w:sz w:val="18"/>
                <w:szCs w:val="18"/>
              </w:rPr>
              <w:t xml:space="preserve"> </w:t>
            </w:r>
            <w:hyperlink r:id="rId87" w:history="1">
              <w:r>
                <w:rPr>
                  <w:color w:val="000000"/>
                  <w:sz w:val="18"/>
                  <w:szCs w:val="18"/>
                </w:rPr>
                <w:t>21 C.F.R. 201.57(c)(6)(iii)</w:t>
              </w:r>
            </w:hyperlink>
            <w:r>
              <w:rPr>
                <w:color w:val="000000"/>
                <w:sz w:val="18"/>
                <w:szCs w:val="18"/>
              </w:rPr>
              <w:t xml:space="preserve"> (Warnings and Precautions section “must be revised to include a warning about a clinically significant hazard as soon as there is reasonable evidence of a causal association with a drug; a causal relationship need not have been definitely established.”).</w:t>
            </w:r>
          </w:p>
          <w:p w14:paraId="58BEB087" w14:textId="77777777" w:rsidR="00793DC4" w:rsidRDefault="00793DC4">
            <w:pPr>
              <w:widowControl w:val="0"/>
              <w:autoSpaceDE w:val="0"/>
              <w:autoSpaceDN w:val="0"/>
              <w:adjustRightInd w:val="0"/>
              <w:jc w:val="both"/>
              <w:rPr>
                <w:color w:val="000000"/>
                <w:sz w:val="18"/>
                <w:szCs w:val="18"/>
              </w:rPr>
            </w:pPr>
          </w:p>
        </w:tc>
      </w:tr>
    </w:tbl>
    <w:p w14:paraId="276E05C6"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4F324626" w14:textId="77777777">
        <w:tblPrEx>
          <w:tblCellMar>
            <w:top w:w="0" w:type="dxa"/>
            <w:left w:w="0" w:type="dxa"/>
            <w:bottom w:w="0" w:type="dxa"/>
            <w:right w:w="0" w:type="dxa"/>
          </w:tblCellMar>
        </w:tblPrEx>
        <w:tc>
          <w:tcPr>
            <w:tcW w:w="600" w:type="dxa"/>
            <w:tcBorders>
              <w:top w:val="nil"/>
              <w:left w:val="nil"/>
              <w:bottom w:val="nil"/>
              <w:right w:val="nil"/>
            </w:tcBorders>
          </w:tcPr>
          <w:bookmarkStart w:id="35" w:name="co_footnote_B00182041287330_1"/>
          <w:bookmarkEnd w:id="35"/>
          <w:p w14:paraId="42E032F4"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"#co_footnoteReference_B00182041287330_ID0" </w:instrText>
            </w:r>
            <w:r w:rsidR="00F61700">
              <w:rPr>
                <w:color w:val="000000"/>
              </w:rPr>
            </w:r>
            <w:r>
              <w:rPr>
                <w:color w:val="000000"/>
              </w:rPr>
              <w:fldChar w:fldCharType="separate"/>
            </w:r>
            <w:r>
              <w:rPr>
                <w:color w:val="000000"/>
                <w:vertAlign w:val="superscript"/>
              </w:rPr>
              <w:t>17</w:t>
            </w:r>
            <w:r>
              <w:rPr>
                <w:color w:val="000000"/>
              </w:rPr>
              <w:fldChar w:fldCharType="end"/>
            </w:r>
          </w:p>
          <w:p w14:paraId="2E0F930F"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268966D1" w14:textId="77777777" w:rsidR="00793DC4" w:rsidRDefault="00793DC4">
            <w:pPr>
              <w:widowControl w:val="0"/>
              <w:autoSpaceDE w:val="0"/>
              <w:autoSpaceDN w:val="0"/>
              <w:adjustRightInd w:val="0"/>
              <w:jc w:val="both"/>
              <w:rPr>
                <w:color w:val="000000"/>
                <w:sz w:val="18"/>
                <w:szCs w:val="18"/>
              </w:rPr>
            </w:pPr>
            <w:hyperlink r:id="rId88" w:history="1">
              <w:r>
                <w:rPr>
                  <w:color w:val="000000"/>
                  <w:sz w:val="18"/>
                  <w:szCs w:val="18"/>
                </w:rPr>
                <w:t>73 Fed. Reg. at 49,604</w:t>
              </w:r>
            </w:hyperlink>
            <w:r>
              <w:rPr>
                <w:color w:val="000000"/>
                <w:sz w:val="18"/>
                <w:szCs w:val="18"/>
              </w:rPr>
              <w:t>.</w:t>
            </w:r>
          </w:p>
          <w:p w14:paraId="003A1488" w14:textId="77777777" w:rsidR="00793DC4" w:rsidRDefault="00793DC4">
            <w:pPr>
              <w:widowControl w:val="0"/>
              <w:autoSpaceDE w:val="0"/>
              <w:autoSpaceDN w:val="0"/>
              <w:adjustRightInd w:val="0"/>
              <w:jc w:val="both"/>
              <w:rPr>
                <w:color w:val="000000"/>
                <w:sz w:val="18"/>
                <w:szCs w:val="18"/>
              </w:rPr>
            </w:pPr>
          </w:p>
        </w:tc>
      </w:tr>
    </w:tbl>
    <w:p w14:paraId="56BA081B" w14:textId="77777777" w:rsidR="00793DC4" w:rsidRDefault="00793DC4">
      <w:pPr>
        <w:widowControl w:val="0"/>
        <w:autoSpaceDE w:val="0"/>
        <w:autoSpaceDN w:val="0"/>
        <w:adjustRightInd w:val="0"/>
        <w:jc w:val="both"/>
        <w:rPr>
          <w:color w:val="000000"/>
        </w:rPr>
      </w:pPr>
    </w:p>
    <w:p w14:paraId="39D5D60A" w14:textId="77777777" w:rsidR="00793DC4" w:rsidRDefault="00793DC4">
      <w:pPr>
        <w:widowControl w:val="0"/>
        <w:autoSpaceDE w:val="0"/>
        <w:autoSpaceDN w:val="0"/>
        <w:adjustRightInd w:val="0"/>
        <w:jc w:val="both"/>
        <w:rPr>
          <w:color w:val="000000"/>
          <w:sz w:val="16"/>
          <w:szCs w:val="16"/>
        </w:rPr>
      </w:pPr>
      <w:r>
        <w:rPr>
          <w:b/>
          <w:bCs/>
          <w:color w:val="000000"/>
        </w:rPr>
        <w:t>*274</w:t>
      </w:r>
      <w:r>
        <w:rPr>
          <w:color w:val="000000"/>
        </w:rPr>
        <w:t xml:space="preserve"> For purposes of the CBE regulation, “newly acquired information” includes “new analyses of previously submitted data.”</w:t>
      </w:r>
      <w:bookmarkStart w:id="36" w:name="co_footnoteReference_B00192041287330_ID0"/>
      <w:bookmarkEnd w:id="36"/>
      <w:r>
        <w:rPr>
          <w:color w:val="000000"/>
          <w:sz w:val="16"/>
          <w:szCs w:val="16"/>
        </w:rPr>
        <w:fldChar w:fldCharType="begin"/>
      </w:r>
      <w:r>
        <w:rPr>
          <w:color w:val="000000"/>
          <w:sz w:val="16"/>
          <w:szCs w:val="16"/>
        </w:rPr>
        <w:instrText xml:space="preserve">HYPERLINK "#co_footnote_B00192041287330_1" </w:instrText>
      </w:r>
      <w:r w:rsidR="00F61700">
        <w:rPr>
          <w:color w:val="000000"/>
          <w:sz w:val="16"/>
          <w:szCs w:val="16"/>
        </w:rPr>
      </w:r>
      <w:r>
        <w:rPr>
          <w:color w:val="000000"/>
          <w:sz w:val="16"/>
          <w:szCs w:val="16"/>
        </w:rPr>
        <w:fldChar w:fldCharType="separate"/>
      </w:r>
      <w:r>
        <w:rPr>
          <w:color w:val="000000"/>
          <w:sz w:val="16"/>
          <w:szCs w:val="16"/>
          <w:vertAlign w:val="superscript"/>
        </w:rPr>
        <w:t>18</w:t>
      </w:r>
      <w:r>
        <w:rPr>
          <w:color w:val="000000"/>
          <w:sz w:val="16"/>
          <w:szCs w:val="16"/>
        </w:rPr>
        <w:fldChar w:fldCharType="end"/>
      </w:r>
      <w:r>
        <w:rPr>
          <w:color w:val="000000"/>
        </w:rPr>
        <w:t xml:space="preserve"> This definition “accounts for the fact that risk information accumulates over time and that the same data may take on a different meaning in light of subsequent developments.”</w:t>
      </w:r>
      <w:bookmarkStart w:id="37" w:name="co_footnoteReference_B00202041287330_ID0"/>
      <w:bookmarkEnd w:id="37"/>
      <w:r>
        <w:rPr>
          <w:color w:val="000000"/>
          <w:sz w:val="16"/>
          <w:szCs w:val="16"/>
        </w:rPr>
        <w:fldChar w:fldCharType="begin"/>
      </w:r>
      <w:r>
        <w:rPr>
          <w:color w:val="000000"/>
          <w:sz w:val="16"/>
          <w:szCs w:val="16"/>
        </w:rPr>
        <w:instrText xml:space="preserve">HYPERLINK "#co_footnote_B00202041287330_1" </w:instrText>
      </w:r>
      <w:r w:rsidR="00F61700">
        <w:rPr>
          <w:color w:val="000000"/>
          <w:sz w:val="16"/>
          <w:szCs w:val="16"/>
        </w:rPr>
      </w:r>
      <w:r>
        <w:rPr>
          <w:color w:val="000000"/>
          <w:sz w:val="16"/>
          <w:szCs w:val="16"/>
        </w:rPr>
        <w:fldChar w:fldCharType="separate"/>
      </w:r>
      <w:r>
        <w:rPr>
          <w:color w:val="000000"/>
          <w:sz w:val="16"/>
          <w:szCs w:val="16"/>
          <w:vertAlign w:val="superscript"/>
        </w:rPr>
        <w:t>19</w:t>
      </w:r>
      <w:r>
        <w:rPr>
          <w:color w:val="000000"/>
          <w:sz w:val="16"/>
          <w:szCs w:val="16"/>
        </w:rPr>
        <w:fldChar w:fldCharType="end"/>
      </w:r>
      <w:r>
        <w:rPr>
          <w:color w:val="000000"/>
        </w:rPr>
        <w:t xml:space="preserve"> Thus, if a manufacturer were to “determine</w:t>
      </w:r>
      <w:proofErr w:type="gramStart"/>
      <w:r>
        <w:rPr>
          <w:color w:val="000000"/>
        </w:rPr>
        <w:t>[ ]</w:t>
      </w:r>
      <w:proofErr w:type="gramEnd"/>
      <w:r>
        <w:rPr>
          <w:color w:val="000000"/>
        </w:rPr>
        <w:t xml:space="preserve"> that existing warnings were insufficient based on ... a new analysis of previously submitted data, [it] could still submit a CBE based on its new analysis of the previous data.”</w:t>
      </w:r>
      <w:bookmarkStart w:id="38" w:name="co_footnoteReference_B00212041287330_ID0"/>
      <w:bookmarkEnd w:id="38"/>
      <w:r>
        <w:rPr>
          <w:color w:val="000000"/>
          <w:sz w:val="16"/>
          <w:szCs w:val="16"/>
        </w:rPr>
        <w:fldChar w:fldCharType="begin"/>
      </w:r>
      <w:r>
        <w:rPr>
          <w:color w:val="000000"/>
          <w:sz w:val="16"/>
          <w:szCs w:val="16"/>
        </w:rPr>
        <w:instrText xml:space="preserve">HYPERLINK "#co_footnote_B00212041287330_1" </w:instrText>
      </w:r>
      <w:r w:rsidR="00F61700">
        <w:rPr>
          <w:color w:val="000000"/>
          <w:sz w:val="16"/>
          <w:szCs w:val="16"/>
        </w:rPr>
      </w:r>
      <w:r>
        <w:rPr>
          <w:color w:val="000000"/>
          <w:sz w:val="16"/>
          <w:szCs w:val="16"/>
        </w:rPr>
        <w:fldChar w:fldCharType="separate"/>
      </w:r>
      <w:r>
        <w:rPr>
          <w:color w:val="000000"/>
          <w:sz w:val="16"/>
          <w:szCs w:val="16"/>
          <w:vertAlign w:val="superscript"/>
        </w:rPr>
        <w:t>20</w:t>
      </w:r>
      <w:r>
        <w:rPr>
          <w:color w:val="000000"/>
          <w:sz w:val="16"/>
          <w:szCs w:val="16"/>
        </w:rPr>
        <w:fldChar w:fldCharType="end"/>
      </w:r>
      <w:r>
        <w:rPr>
          <w:color w:val="000000"/>
        </w:rPr>
        <w:t xml:space="preserve"> A manufacturer’s ability to change a label via the CBE process is not absolute, however. The FDA reviews CBE submissions and retains the power to reject proposed changes that do not meet the regulatory standards.</w:t>
      </w:r>
      <w:bookmarkStart w:id="39" w:name="co_footnoteReference_B00222041287330_ID0"/>
      <w:bookmarkEnd w:id="39"/>
      <w:r>
        <w:rPr>
          <w:color w:val="000000"/>
          <w:sz w:val="16"/>
          <w:szCs w:val="16"/>
        </w:rPr>
        <w:fldChar w:fldCharType="begin"/>
      </w:r>
      <w:r>
        <w:rPr>
          <w:color w:val="000000"/>
          <w:sz w:val="16"/>
          <w:szCs w:val="16"/>
        </w:rPr>
        <w:instrText xml:space="preserve">HYPERLINK "#co_footnote_B00222041287330_1" </w:instrText>
      </w:r>
      <w:r w:rsidR="00F61700">
        <w:rPr>
          <w:color w:val="000000"/>
          <w:sz w:val="16"/>
          <w:szCs w:val="16"/>
        </w:rPr>
      </w:r>
      <w:r>
        <w:rPr>
          <w:color w:val="000000"/>
          <w:sz w:val="16"/>
          <w:szCs w:val="16"/>
        </w:rPr>
        <w:fldChar w:fldCharType="separate"/>
      </w:r>
      <w:r>
        <w:rPr>
          <w:color w:val="000000"/>
          <w:sz w:val="16"/>
          <w:szCs w:val="16"/>
          <w:vertAlign w:val="superscript"/>
        </w:rPr>
        <w:t>21</w:t>
      </w:r>
      <w:r>
        <w:rPr>
          <w:color w:val="000000"/>
          <w:sz w:val="16"/>
          <w:szCs w:val="16"/>
        </w:rPr>
        <w:fldChar w:fldCharType="end"/>
      </w:r>
    </w:p>
    <w:p w14:paraId="5B811C7E"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048F870E" w14:textId="77777777">
        <w:tblPrEx>
          <w:tblCellMar>
            <w:top w:w="0" w:type="dxa"/>
            <w:left w:w="0" w:type="dxa"/>
            <w:bottom w:w="0" w:type="dxa"/>
            <w:right w:w="0" w:type="dxa"/>
          </w:tblCellMar>
        </w:tblPrEx>
        <w:tc>
          <w:tcPr>
            <w:tcW w:w="600" w:type="dxa"/>
            <w:tcBorders>
              <w:top w:val="nil"/>
              <w:left w:val="nil"/>
              <w:bottom w:val="nil"/>
              <w:right w:val="nil"/>
            </w:tcBorders>
          </w:tcPr>
          <w:bookmarkStart w:id="40" w:name="co_footnote_B00192041287330_1"/>
          <w:bookmarkEnd w:id="40"/>
          <w:p w14:paraId="032EE5F8"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"#co_footnoteReference_B00192041287330_ID0" </w:instrText>
            </w:r>
            <w:r w:rsidR="00F61700">
              <w:rPr>
                <w:color w:val="000000"/>
              </w:rPr>
            </w:r>
            <w:r>
              <w:rPr>
                <w:color w:val="000000"/>
              </w:rPr>
              <w:fldChar w:fldCharType="separate"/>
            </w:r>
            <w:r>
              <w:rPr>
                <w:color w:val="000000"/>
                <w:vertAlign w:val="superscript"/>
              </w:rPr>
              <w:t>18</w:t>
            </w:r>
            <w:r>
              <w:rPr>
                <w:color w:val="000000"/>
              </w:rPr>
              <w:fldChar w:fldCharType="end"/>
            </w:r>
          </w:p>
          <w:p w14:paraId="3939068E"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5BBD368D" w14:textId="77777777" w:rsidR="00793DC4" w:rsidRDefault="00793DC4">
            <w:pPr>
              <w:widowControl w:val="0"/>
              <w:autoSpaceDE w:val="0"/>
              <w:autoSpaceDN w:val="0"/>
              <w:adjustRightInd w:val="0"/>
              <w:jc w:val="both"/>
              <w:rPr>
                <w:color w:val="000000"/>
                <w:sz w:val="18"/>
                <w:szCs w:val="18"/>
              </w:rPr>
            </w:pPr>
            <w:hyperlink r:id="rId89" w:history="1">
              <w:r>
                <w:rPr>
                  <w:color w:val="000000"/>
                  <w:sz w:val="18"/>
                  <w:szCs w:val="18"/>
                </w:rPr>
                <w:t>21 C.F.R. § 314.3(b)</w:t>
              </w:r>
            </w:hyperlink>
            <w:r>
              <w:rPr>
                <w:color w:val="000000"/>
                <w:sz w:val="18"/>
                <w:szCs w:val="18"/>
              </w:rPr>
              <w:t>.</w:t>
            </w:r>
          </w:p>
          <w:p w14:paraId="04E29C36" w14:textId="77777777" w:rsidR="00793DC4" w:rsidRDefault="00793DC4">
            <w:pPr>
              <w:widowControl w:val="0"/>
              <w:autoSpaceDE w:val="0"/>
              <w:autoSpaceDN w:val="0"/>
              <w:adjustRightInd w:val="0"/>
              <w:jc w:val="both"/>
              <w:rPr>
                <w:color w:val="000000"/>
                <w:sz w:val="18"/>
                <w:szCs w:val="18"/>
              </w:rPr>
            </w:pPr>
          </w:p>
        </w:tc>
      </w:tr>
    </w:tbl>
    <w:p w14:paraId="113CE9D9"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16550A7E" w14:textId="77777777">
        <w:tblPrEx>
          <w:tblCellMar>
            <w:top w:w="0" w:type="dxa"/>
            <w:left w:w="0" w:type="dxa"/>
            <w:bottom w:w="0" w:type="dxa"/>
            <w:right w:w="0" w:type="dxa"/>
          </w:tblCellMar>
        </w:tblPrEx>
        <w:tc>
          <w:tcPr>
            <w:tcW w:w="600" w:type="dxa"/>
            <w:tcBorders>
              <w:top w:val="nil"/>
              <w:left w:val="nil"/>
              <w:bottom w:val="nil"/>
              <w:right w:val="nil"/>
            </w:tcBorders>
          </w:tcPr>
          <w:bookmarkStart w:id="41" w:name="co_footnote_B00202041287330_1"/>
          <w:bookmarkEnd w:id="41"/>
          <w:p w14:paraId="68E3E16D"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"#co_footnoteReference_B00202041287330_ID0" </w:instrText>
            </w:r>
            <w:r w:rsidR="00F61700">
              <w:rPr>
                <w:color w:val="000000"/>
              </w:rPr>
            </w:r>
            <w:r>
              <w:rPr>
                <w:color w:val="000000"/>
              </w:rPr>
              <w:fldChar w:fldCharType="separate"/>
            </w:r>
            <w:r>
              <w:rPr>
                <w:color w:val="000000"/>
                <w:vertAlign w:val="superscript"/>
              </w:rPr>
              <w:t>19</w:t>
            </w:r>
            <w:r>
              <w:rPr>
                <w:color w:val="000000"/>
              </w:rPr>
              <w:fldChar w:fldCharType="end"/>
            </w:r>
          </w:p>
          <w:p w14:paraId="094C0A43"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453262E3" w14:textId="77777777" w:rsidR="00793DC4" w:rsidRDefault="00793DC4">
            <w:pPr>
              <w:widowControl w:val="0"/>
              <w:autoSpaceDE w:val="0"/>
              <w:autoSpaceDN w:val="0"/>
              <w:adjustRightInd w:val="0"/>
              <w:jc w:val="both"/>
              <w:rPr>
                <w:color w:val="000000"/>
                <w:sz w:val="18"/>
                <w:szCs w:val="18"/>
              </w:rPr>
            </w:pPr>
            <w:hyperlink r:id="rId90" w:history="1">
              <w:r>
                <w:rPr>
                  <w:i/>
                  <w:iCs/>
                  <w:color w:val="000000"/>
                  <w:sz w:val="18"/>
                  <w:szCs w:val="18"/>
                </w:rPr>
                <w:t>Wyeth</w:t>
              </w:r>
              <w:r>
                <w:rPr>
                  <w:color w:val="000000"/>
                  <w:sz w:val="18"/>
                  <w:szCs w:val="18"/>
                </w:rPr>
                <w:t xml:space="preserve">, 555 U.S. at 569, 129 </w:t>
              </w:r>
              <w:proofErr w:type="spellStart"/>
              <w:r>
                <w:rPr>
                  <w:color w:val="000000"/>
                  <w:sz w:val="18"/>
                  <w:szCs w:val="18"/>
                </w:rPr>
                <w:t>S.Ct</w:t>
              </w:r>
              <w:proofErr w:type="spellEnd"/>
              <w:r>
                <w:rPr>
                  <w:color w:val="000000"/>
                  <w:sz w:val="18"/>
                  <w:szCs w:val="18"/>
                </w:rPr>
                <w:t>. 1187</w:t>
              </w:r>
            </w:hyperlink>
            <w:r>
              <w:rPr>
                <w:color w:val="000000"/>
                <w:sz w:val="18"/>
                <w:szCs w:val="18"/>
              </w:rPr>
              <w:t>.</w:t>
            </w:r>
          </w:p>
          <w:p w14:paraId="3908814C" w14:textId="77777777" w:rsidR="00793DC4" w:rsidRDefault="00793DC4">
            <w:pPr>
              <w:widowControl w:val="0"/>
              <w:autoSpaceDE w:val="0"/>
              <w:autoSpaceDN w:val="0"/>
              <w:adjustRightInd w:val="0"/>
              <w:jc w:val="both"/>
              <w:rPr>
                <w:color w:val="000000"/>
                <w:sz w:val="18"/>
                <w:szCs w:val="18"/>
              </w:rPr>
            </w:pPr>
          </w:p>
        </w:tc>
      </w:tr>
    </w:tbl>
    <w:p w14:paraId="57803AFF"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67619677" w14:textId="77777777">
        <w:tblPrEx>
          <w:tblCellMar>
            <w:top w:w="0" w:type="dxa"/>
            <w:left w:w="0" w:type="dxa"/>
            <w:bottom w:w="0" w:type="dxa"/>
            <w:right w:w="0" w:type="dxa"/>
          </w:tblCellMar>
        </w:tblPrEx>
        <w:tc>
          <w:tcPr>
            <w:tcW w:w="600" w:type="dxa"/>
            <w:tcBorders>
              <w:top w:val="nil"/>
              <w:left w:val="nil"/>
              <w:bottom w:val="nil"/>
              <w:right w:val="nil"/>
            </w:tcBorders>
          </w:tcPr>
          <w:bookmarkStart w:id="42" w:name="co_footnote_B00212041287330_1"/>
          <w:bookmarkEnd w:id="42"/>
          <w:p w14:paraId="6D641D74"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"#co_footnoteReference_B00212041287330_ID0" </w:instrText>
            </w:r>
            <w:r w:rsidR="00F61700">
              <w:rPr>
                <w:color w:val="000000"/>
              </w:rPr>
            </w:r>
            <w:r>
              <w:rPr>
                <w:color w:val="000000"/>
              </w:rPr>
              <w:fldChar w:fldCharType="separate"/>
            </w:r>
            <w:r>
              <w:rPr>
                <w:color w:val="000000"/>
                <w:vertAlign w:val="superscript"/>
              </w:rPr>
              <w:t>20</w:t>
            </w:r>
            <w:r>
              <w:rPr>
                <w:color w:val="000000"/>
              </w:rPr>
              <w:fldChar w:fldCharType="end"/>
            </w:r>
          </w:p>
          <w:p w14:paraId="34CADCA8"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657FFA10" w14:textId="77777777" w:rsidR="00793DC4" w:rsidRDefault="00793DC4">
            <w:pPr>
              <w:widowControl w:val="0"/>
              <w:autoSpaceDE w:val="0"/>
              <w:autoSpaceDN w:val="0"/>
              <w:adjustRightInd w:val="0"/>
              <w:jc w:val="both"/>
              <w:rPr>
                <w:color w:val="000000"/>
                <w:sz w:val="18"/>
                <w:szCs w:val="18"/>
              </w:rPr>
            </w:pPr>
            <w:hyperlink r:id="rId91" w:history="1">
              <w:r>
                <w:rPr>
                  <w:color w:val="000000"/>
                  <w:sz w:val="18"/>
                  <w:szCs w:val="18"/>
                </w:rPr>
                <w:t>73 Fed. Reg. at 49,606</w:t>
              </w:r>
            </w:hyperlink>
            <w:r>
              <w:rPr>
                <w:color w:val="000000"/>
                <w:sz w:val="18"/>
                <w:szCs w:val="18"/>
              </w:rPr>
              <w:t>.</w:t>
            </w:r>
          </w:p>
          <w:p w14:paraId="79A91A44" w14:textId="77777777" w:rsidR="00793DC4" w:rsidRDefault="00793DC4">
            <w:pPr>
              <w:widowControl w:val="0"/>
              <w:autoSpaceDE w:val="0"/>
              <w:autoSpaceDN w:val="0"/>
              <w:adjustRightInd w:val="0"/>
              <w:jc w:val="both"/>
              <w:rPr>
                <w:color w:val="000000"/>
                <w:sz w:val="18"/>
                <w:szCs w:val="18"/>
              </w:rPr>
            </w:pPr>
          </w:p>
        </w:tc>
      </w:tr>
    </w:tbl>
    <w:p w14:paraId="25D6457F"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14321A2C" w14:textId="77777777">
        <w:tblPrEx>
          <w:tblCellMar>
            <w:top w:w="0" w:type="dxa"/>
            <w:left w:w="0" w:type="dxa"/>
            <w:bottom w:w="0" w:type="dxa"/>
            <w:right w:w="0" w:type="dxa"/>
          </w:tblCellMar>
        </w:tblPrEx>
        <w:tc>
          <w:tcPr>
            <w:tcW w:w="600" w:type="dxa"/>
            <w:tcBorders>
              <w:top w:val="nil"/>
              <w:left w:val="nil"/>
              <w:bottom w:val="nil"/>
              <w:right w:val="nil"/>
            </w:tcBorders>
          </w:tcPr>
          <w:bookmarkStart w:id="43" w:name="co_footnote_B00222041287330_1"/>
          <w:bookmarkEnd w:id="43"/>
          <w:p w14:paraId="2834F30D"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"#co_footnoteReference_B00222041287330_ID0" </w:instrText>
            </w:r>
            <w:r w:rsidR="00F61700">
              <w:rPr>
                <w:color w:val="000000"/>
              </w:rPr>
            </w:r>
            <w:r>
              <w:rPr>
                <w:color w:val="000000"/>
              </w:rPr>
              <w:fldChar w:fldCharType="separate"/>
            </w:r>
            <w:r>
              <w:rPr>
                <w:color w:val="000000"/>
                <w:vertAlign w:val="superscript"/>
              </w:rPr>
              <w:t>21</w:t>
            </w:r>
            <w:r>
              <w:rPr>
                <w:color w:val="000000"/>
              </w:rPr>
              <w:fldChar w:fldCharType="end"/>
            </w:r>
          </w:p>
          <w:p w14:paraId="125D125E"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17964F0E" w14:textId="77777777" w:rsidR="00793DC4" w:rsidRDefault="00793DC4">
            <w:pPr>
              <w:widowControl w:val="0"/>
              <w:autoSpaceDE w:val="0"/>
              <w:autoSpaceDN w:val="0"/>
              <w:adjustRightInd w:val="0"/>
              <w:jc w:val="both"/>
              <w:rPr>
                <w:color w:val="000000"/>
                <w:sz w:val="18"/>
                <w:szCs w:val="18"/>
              </w:rPr>
            </w:pPr>
            <w:r>
              <w:rPr>
                <w:i/>
                <w:iCs/>
                <w:color w:val="000000"/>
                <w:sz w:val="18"/>
                <w:szCs w:val="18"/>
              </w:rPr>
              <w:t>See</w:t>
            </w:r>
            <w:r>
              <w:rPr>
                <w:color w:val="000000"/>
                <w:sz w:val="18"/>
                <w:szCs w:val="18"/>
              </w:rPr>
              <w:t xml:space="preserve"> </w:t>
            </w:r>
            <w:hyperlink r:id="rId92" w:history="1">
              <w:r>
                <w:rPr>
                  <w:color w:val="000000"/>
                  <w:sz w:val="18"/>
                  <w:szCs w:val="18"/>
                </w:rPr>
                <w:t>21 C.F.R. § 314.70(c)(4)-(6)</w:t>
              </w:r>
            </w:hyperlink>
            <w:r>
              <w:rPr>
                <w:color w:val="000000"/>
                <w:sz w:val="18"/>
                <w:szCs w:val="18"/>
              </w:rPr>
              <w:t>.</w:t>
            </w:r>
          </w:p>
          <w:p w14:paraId="7C639AAF" w14:textId="77777777" w:rsidR="00793DC4" w:rsidRDefault="00793DC4">
            <w:pPr>
              <w:widowControl w:val="0"/>
              <w:autoSpaceDE w:val="0"/>
              <w:autoSpaceDN w:val="0"/>
              <w:adjustRightInd w:val="0"/>
              <w:jc w:val="both"/>
              <w:rPr>
                <w:color w:val="000000"/>
                <w:sz w:val="18"/>
                <w:szCs w:val="18"/>
              </w:rPr>
            </w:pPr>
          </w:p>
        </w:tc>
      </w:tr>
    </w:tbl>
    <w:p w14:paraId="6122C15B" w14:textId="77777777" w:rsidR="00793DC4" w:rsidRDefault="00793DC4">
      <w:pPr>
        <w:widowControl w:val="0"/>
        <w:autoSpaceDE w:val="0"/>
        <w:autoSpaceDN w:val="0"/>
        <w:adjustRightInd w:val="0"/>
        <w:jc w:val="both"/>
        <w:rPr>
          <w:color w:val="000000"/>
        </w:rPr>
      </w:pPr>
    </w:p>
    <w:p w14:paraId="0D60A2D1" w14:textId="77777777" w:rsidR="00793DC4" w:rsidRDefault="00793DC4">
      <w:pPr>
        <w:widowControl w:val="0"/>
        <w:autoSpaceDE w:val="0"/>
        <w:autoSpaceDN w:val="0"/>
        <w:adjustRightInd w:val="0"/>
        <w:jc w:val="both"/>
        <w:rPr>
          <w:color w:val="000000"/>
          <w:sz w:val="16"/>
          <w:szCs w:val="16"/>
        </w:rPr>
      </w:pPr>
      <w:r>
        <w:rPr>
          <w:b/>
          <w:bCs/>
          <w:i/>
          <w:iCs/>
          <w:color w:val="000000"/>
        </w:rPr>
        <w:t>Second</w:t>
      </w:r>
      <w:r>
        <w:rPr>
          <w:color w:val="000000"/>
        </w:rPr>
        <w:t>, manufacturers can implement “major changes” to a label by filing a so-called “Prior Approval Supplement” (“PAS”).</w:t>
      </w:r>
      <w:bookmarkStart w:id="44" w:name="co_footnoteReference_B00232041287330_ID0"/>
      <w:bookmarkEnd w:id="44"/>
      <w:r>
        <w:rPr>
          <w:color w:val="000000"/>
          <w:sz w:val="16"/>
          <w:szCs w:val="16"/>
        </w:rPr>
        <w:fldChar w:fldCharType="begin"/>
      </w:r>
      <w:r>
        <w:rPr>
          <w:color w:val="000000"/>
          <w:sz w:val="16"/>
          <w:szCs w:val="16"/>
        </w:rPr>
        <w:instrText xml:space="preserve">HYPERLINK "#co_footnote_B00232041287330_1" </w:instrText>
      </w:r>
      <w:r w:rsidR="00F61700">
        <w:rPr>
          <w:color w:val="000000"/>
          <w:sz w:val="16"/>
          <w:szCs w:val="16"/>
        </w:rPr>
      </w:r>
      <w:r>
        <w:rPr>
          <w:color w:val="000000"/>
          <w:sz w:val="16"/>
          <w:szCs w:val="16"/>
        </w:rPr>
        <w:fldChar w:fldCharType="separate"/>
      </w:r>
      <w:r>
        <w:rPr>
          <w:color w:val="000000"/>
          <w:sz w:val="16"/>
          <w:szCs w:val="16"/>
          <w:vertAlign w:val="superscript"/>
        </w:rPr>
        <w:t>22</w:t>
      </w:r>
      <w:r>
        <w:rPr>
          <w:color w:val="000000"/>
          <w:sz w:val="16"/>
          <w:szCs w:val="16"/>
        </w:rPr>
        <w:fldChar w:fldCharType="end"/>
      </w:r>
      <w:r>
        <w:rPr>
          <w:color w:val="000000"/>
        </w:rPr>
        <w:t xml:space="preserve"> Unlike a CBE change, a PAS change requires prior FDA approval before it can be implemented.</w:t>
      </w:r>
      <w:bookmarkStart w:id="45" w:name="co_footnoteReference_B00242041287330_ID0"/>
      <w:bookmarkEnd w:id="45"/>
      <w:r>
        <w:rPr>
          <w:color w:val="000000"/>
          <w:sz w:val="16"/>
          <w:szCs w:val="16"/>
        </w:rPr>
        <w:fldChar w:fldCharType="begin"/>
      </w:r>
      <w:r>
        <w:rPr>
          <w:color w:val="000000"/>
          <w:sz w:val="16"/>
          <w:szCs w:val="16"/>
        </w:rPr>
        <w:instrText xml:space="preserve">HYPERLINK "#co_footnote_B00242041287330_1" </w:instrText>
      </w:r>
      <w:r w:rsidR="00F61700">
        <w:rPr>
          <w:color w:val="000000"/>
          <w:sz w:val="16"/>
          <w:szCs w:val="16"/>
        </w:rPr>
      </w:r>
      <w:r>
        <w:rPr>
          <w:color w:val="000000"/>
          <w:sz w:val="16"/>
          <w:szCs w:val="16"/>
        </w:rPr>
        <w:fldChar w:fldCharType="separate"/>
      </w:r>
      <w:r>
        <w:rPr>
          <w:color w:val="000000"/>
          <w:sz w:val="16"/>
          <w:szCs w:val="16"/>
          <w:vertAlign w:val="superscript"/>
        </w:rPr>
        <w:t>23</w:t>
      </w:r>
      <w:r>
        <w:rPr>
          <w:color w:val="000000"/>
          <w:sz w:val="16"/>
          <w:szCs w:val="16"/>
        </w:rPr>
        <w:fldChar w:fldCharType="end"/>
      </w:r>
      <w:r>
        <w:rPr>
          <w:color w:val="000000"/>
        </w:rPr>
        <w:t xml:space="preserve"> The key distinction for present purposes is that a proposed label change that qualifies for a CBE supplement—including a proposal to “add or strengthen a contraindication, warning, precaution, or adverse reaction”—need not be submitted through the PAS process and does not require prior FDA approval.</w:t>
      </w:r>
      <w:bookmarkStart w:id="46" w:name="co_footnoteReference_B00252041287330_ID0"/>
      <w:bookmarkEnd w:id="46"/>
      <w:r>
        <w:rPr>
          <w:color w:val="000000"/>
          <w:sz w:val="16"/>
          <w:szCs w:val="16"/>
        </w:rPr>
        <w:fldChar w:fldCharType="begin"/>
      </w:r>
      <w:r>
        <w:rPr>
          <w:color w:val="000000"/>
          <w:sz w:val="16"/>
          <w:szCs w:val="16"/>
        </w:rPr>
        <w:instrText xml:space="preserve">HYPERLINK "#co_footnote_B00252041287330_1" </w:instrText>
      </w:r>
      <w:r w:rsidR="00F61700">
        <w:rPr>
          <w:color w:val="000000"/>
          <w:sz w:val="16"/>
          <w:szCs w:val="16"/>
        </w:rPr>
      </w:r>
      <w:r>
        <w:rPr>
          <w:color w:val="000000"/>
          <w:sz w:val="16"/>
          <w:szCs w:val="16"/>
        </w:rPr>
        <w:fldChar w:fldCharType="separate"/>
      </w:r>
      <w:r>
        <w:rPr>
          <w:color w:val="000000"/>
          <w:sz w:val="16"/>
          <w:szCs w:val="16"/>
          <w:vertAlign w:val="superscript"/>
        </w:rPr>
        <w:t>24</w:t>
      </w:r>
      <w:r>
        <w:rPr>
          <w:color w:val="000000"/>
          <w:sz w:val="16"/>
          <w:szCs w:val="16"/>
        </w:rPr>
        <w:fldChar w:fldCharType="end"/>
      </w:r>
    </w:p>
    <w:p w14:paraId="4F52EED6"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6A704216" w14:textId="77777777">
        <w:tblPrEx>
          <w:tblCellMar>
            <w:top w:w="0" w:type="dxa"/>
            <w:left w:w="0" w:type="dxa"/>
            <w:bottom w:w="0" w:type="dxa"/>
            <w:right w:w="0" w:type="dxa"/>
          </w:tblCellMar>
        </w:tblPrEx>
        <w:tc>
          <w:tcPr>
            <w:tcW w:w="600" w:type="dxa"/>
            <w:tcBorders>
              <w:top w:val="nil"/>
              <w:left w:val="nil"/>
              <w:bottom w:val="nil"/>
              <w:right w:val="nil"/>
            </w:tcBorders>
          </w:tcPr>
          <w:bookmarkStart w:id="47" w:name="co_footnote_B00232041287330_1"/>
          <w:bookmarkEnd w:id="47"/>
          <w:p w14:paraId="3BA16973"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"#co_footnoteReference_B00232041287330_ID0" </w:instrText>
            </w:r>
            <w:r w:rsidR="00F61700">
              <w:rPr>
                <w:color w:val="000000"/>
              </w:rPr>
            </w:r>
            <w:r>
              <w:rPr>
                <w:color w:val="000000"/>
              </w:rPr>
              <w:fldChar w:fldCharType="separate"/>
            </w:r>
            <w:r>
              <w:rPr>
                <w:color w:val="000000"/>
                <w:vertAlign w:val="superscript"/>
              </w:rPr>
              <w:t>22</w:t>
            </w:r>
            <w:r>
              <w:rPr>
                <w:color w:val="000000"/>
              </w:rPr>
              <w:fldChar w:fldCharType="end"/>
            </w:r>
          </w:p>
          <w:p w14:paraId="3A573539"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3EA19A62" w14:textId="77777777" w:rsidR="00793DC4" w:rsidRDefault="00793DC4">
            <w:pPr>
              <w:widowControl w:val="0"/>
              <w:autoSpaceDE w:val="0"/>
              <w:autoSpaceDN w:val="0"/>
              <w:adjustRightInd w:val="0"/>
              <w:jc w:val="both"/>
              <w:rPr>
                <w:color w:val="000000"/>
                <w:sz w:val="18"/>
                <w:szCs w:val="18"/>
              </w:rPr>
            </w:pPr>
            <w:r>
              <w:rPr>
                <w:i/>
                <w:iCs/>
                <w:color w:val="000000"/>
                <w:sz w:val="18"/>
                <w:szCs w:val="18"/>
              </w:rPr>
              <w:t>Id</w:t>
            </w:r>
            <w:r>
              <w:rPr>
                <w:color w:val="000000"/>
                <w:sz w:val="18"/>
                <w:szCs w:val="18"/>
              </w:rPr>
              <w:t>. § 314.70(b).</w:t>
            </w:r>
          </w:p>
          <w:p w14:paraId="58AC70CD" w14:textId="77777777" w:rsidR="00793DC4" w:rsidRDefault="00793DC4">
            <w:pPr>
              <w:widowControl w:val="0"/>
              <w:autoSpaceDE w:val="0"/>
              <w:autoSpaceDN w:val="0"/>
              <w:adjustRightInd w:val="0"/>
              <w:jc w:val="both"/>
              <w:rPr>
                <w:color w:val="000000"/>
                <w:sz w:val="18"/>
                <w:szCs w:val="18"/>
              </w:rPr>
            </w:pPr>
          </w:p>
        </w:tc>
      </w:tr>
    </w:tbl>
    <w:p w14:paraId="6FA4291F"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0F9AA1BF" w14:textId="77777777">
        <w:tblPrEx>
          <w:tblCellMar>
            <w:top w:w="0" w:type="dxa"/>
            <w:left w:w="0" w:type="dxa"/>
            <w:bottom w:w="0" w:type="dxa"/>
            <w:right w:w="0" w:type="dxa"/>
          </w:tblCellMar>
        </w:tblPrEx>
        <w:tc>
          <w:tcPr>
            <w:tcW w:w="600" w:type="dxa"/>
            <w:tcBorders>
              <w:top w:val="nil"/>
              <w:left w:val="nil"/>
              <w:bottom w:val="nil"/>
              <w:right w:val="nil"/>
            </w:tcBorders>
          </w:tcPr>
          <w:bookmarkStart w:id="48" w:name="co_footnote_B00242041287330_1"/>
          <w:bookmarkEnd w:id="48"/>
          <w:p w14:paraId="07CA7005"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"#co_footnoteReference_B00242041287330_ID0" </w:instrText>
            </w:r>
            <w:r w:rsidR="00F61700">
              <w:rPr>
                <w:color w:val="000000"/>
              </w:rPr>
            </w:r>
            <w:r>
              <w:rPr>
                <w:color w:val="000000"/>
              </w:rPr>
              <w:fldChar w:fldCharType="separate"/>
            </w:r>
            <w:r>
              <w:rPr>
                <w:color w:val="000000"/>
                <w:vertAlign w:val="superscript"/>
              </w:rPr>
              <w:t>23</w:t>
            </w:r>
            <w:r>
              <w:rPr>
                <w:color w:val="000000"/>
              </w:rPr>
              <w:fldChar w:fldCharType="end"/>
            </w:r>
          </w:p>
          <w:p w14:paraId="7C3816B3"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0ECBDBA6" w14:textId="77777777" w:rsidR="00793DC4" w:rsidRDefault="00793DC4">
            <w:pPr>
              <w:widowControl w:val="0"/>
              <w:autoSpaceDE w:val="0"/>
              <w:autoSpaceDN w:val="0"/>
              <w:adjustRightInd w:val="0"/>
              <w:jc w:val="both"/>
              <w:rPr>
                <w:color w:val="000000"/>
                <w:sz w:val="18"/>
                <w:szCs w:val="18"/>
              </w:rPr>
            </w:pPr>
            <w:r>
              <w:rPr>
                <w:i/>
                <w:iCs/>
                <w:color w:val="000000"/>
                <w:sz w:val="18"/>
                <w:szCs w:val="18"/>
              </w:rPr>
              <w:t>Id</w:t>
            </w:r>
            <w:r>
              <w:rPr>
                <w:color w:val="000000"/>
                <w:sz w:val="18"/>
                <w:szCs w:val="18"/>
              </w:rPr>
              <w:t>. § 314.70(b)(3).</w:t>
            </w:r>
          </w:p>
          <w:p w14:paraId="3DB62448" w14:textId="77777777" w:rsidR="00793DC4" w:rsidRDefault="00793DC4">
            <w:pPr>
              <w:widowControl w:val="0"/>
              <w:autoSpaceDE w:val="0"/>
              <w:autoSpaceDN w:val="0"/>
              <w:adjustRightInd w:val="0"/>
              <w:jc w:val="both"/>
              <w:rPr>
                <w:color w:val="000000"/>
                <w:sz w:val="18"/>
                <w:szCs w:val="18"/>
              </w:rPr>
            </w:pPr>
          </w:p>
        </w:tc>
      </w:tr>
    </w:tbl>
    <w:p w14:paraId="3A3BC9B8"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67D64246" w14:textId="77777777">
        <w:tblPrEx>
          <w:tblCellMar>
            <w:top w:w="0" w:type="dxa"/>
            <w:left w:w="0" w:type="dxa"/>
            <w:bottom w:w="0" w:type="dxa"/>
            <w:right w:w="0" w:type="dxa"/>
          </w:tblCellMar>
        </w:tblPrEx>
        <w:tc>
          <w:tcPr>
            <w:tcW w:w="600" w:type="dxa"/>
            <w:tcBorders>
              <w:top w:val="nil"/>
              <w:left w:val="nil"/>
              <w:bottom w:val="nil"/>
              <w:right w:val="nil"/>
            </w:tcBorders>
          </w:tcPr>
          <w:bookmarkStart w:id="49" w:name="co_footnote_B00252041287330_1"/>
          <w:bookmarkEnd w:id="49"/>
          <w:p w14:paraId="22B66D90"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"#co_footnoteReference_B00252041287330_ID0" </w:instrText>
            </w:r>
            <w:r w:rsidR="00F61700">
              <w:rPr>
                <w:color w:val="000000"/>
              </w:rPr>
            </w:r>
            <w:r>
              <w:rPr>
                <w:color w:val="000000"/>
              </w:rPr>
              <w:fldChar w:fldCharType="separate"/>
            </w:r>
            <w:r>
              <w:rPr>
                <w:color w:val="000000"/>
                <w:vertAlign w:val="superscript"/>
              </w:rPr>
              <w:t>24</w:t>
            </w:r>
            <w:r>
              <w:rPr>
                <w:color w:val="000000"/>
              </w:rPr>
              <w:fldChar w:fldCharType="end"/>
            </w:r>
          </w:p>
          <w:p w14:paraId="4B95FF5C"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5472424A" w14:textId="77777777" w:rsidR="00793DC4" w:rsidRDefault="00793DC4">
            <w:pPr>
              <w:widowControl w:val="0"/>
              <w:autoSpaceDE w:val="0"/>
              <w:autoSpaceDN w:val="0"/>
              <w:adjustRightInd w:val="0"/>
              <w:jc w:val="both"/>
              <w:rPr>
                <w:color w:val="000000"/>
                <w:sz w:val="18"/>
                <w:szCs w:val="18"/>
              </w:rPr>
            </w:pPr>
            <w:r>
              <w:rPr>
                <w:i/>
                <w:iCs/>
                <w:color w:val="000000"/>
                <w:sz w:val="18"/>
                <w:szCs w:val="18"/>
              </w:rPr>
              <w:t>Id</w:t>
            </w:r>
            <w:r>
              <w:rPr>
                <w:color w:val="000000"/>
                <w:sz w:val="18"/>
                <w:szCs w:val="18"/>
              </w:rPr>
              <w:t xml:space="preserve">. § 314.70(b)(2)(v)(A); </w:t>
            </w:r>
            <w:r>
              <w:rPr>
                <w:i/>
                <w:iCs/>
                <w:color w:val="000000"/>
                <w:sz w:val="18"/>
                <w:szCs w:val="18"/>
              </w:rPr>
              <w:t>id.</w:t>
            </w:r>
            <w:r>
              <w:rPr>
                <w:color w:val="000000"/>
                <w:sz w:val="18"/>
                <w:szCs w:val="18"/>
              </w:rPr>
              <w:t xml:space="preserve"> § 314.70(c)(6)(iii)(A).</w:t>
            </w:r>
          </w:p>
          <w:p w14:paraId="3E65F0DE" w14:textId="77777777" w:rsidR="00793DC4" w:rsidRDefault="00793DC4">
            <w:pPr>
              <w:widowControl w:val="0"/>
              <w:autoSpaceDE w:val="0"/>
              <w:autoSpaceDN w:val="0"/>
              <w:adjustRightInd w:val="0"/>
              <w:jc w:val="both"/>
              <w:rPr>
                <w:color w:val="000000"/>
                <w:sz w:val="18"/>
                <w:szCs w:val="18"/>
              </w:rPr>
            </w:pPr>
          </w:p>
        </w:tc>
      </w:tr>
    </w:tbl>
    <w:p w14:paraId="21B9582A" w14:textId="77777777" w:rsidR="00793DC4" w:rsidRDefault="00793DC4">
      <w:pPr>
        <w:widowControl w:val="0"/>
        <w:autoSpaceDE w:val="0"/>
        <w:autoSpaceDN w:val="0"/>
        <w:adjustRightInd w:val="0"/>
        <w:jc w:val="both"/>
        <w:rPr>
          <w:color w:val="000000"/>
        </w:rPr>
      </w:pPr>
    </w:p>
    <w:p w14:paraId="5E7809D7" w14:textId="77777777" w:rsidR="00793DC4" w:rsidRDefault="00793DC4">
      <w:pPr>
        <w:widowControl w:val="0"/>
        <w:autoSpaceDE w:val="0"/>
        <w:autoSpaceDN w:val="0"/>
        <w:adjustRightInd w:val="0"/>
        <w:jc w:val="both"/>
        <w:rPr>
          <w:color w:val="000000"/>
          <w:sz w:val="16"/>
          <w:szCs w:val="16"/>
        </w:rPr>
      </w:pPr>
      <w:r>
        <w:rPr>
          <w:color w:val="000000"/>
        </w:rPr>
        <w:t>It is important to recognize, however, that the FDA does not simply approve warnings out of an abundance of caution whenever the manufacturer posits a theoretical association between drug use and an adverse event. As the FDA has recognized, “[</w:t>
      </w:r>
      <w:proofErr w:type="gramStart"/>
      <w:r>
        <w:rPr>
          <w:color w:val="000000"/>
        </w:rPr>
        <w:t>e]</w:t>
      </w:r>
      <w:proofErr w:type="spellStart"/>
      <w:r>
        <w:rPr>
          <w:color w:val="000000"/>
        </w:rPr>
        <w:t>xaggeration</w:t>
      </w:r>
      <w:proofErr w:type="spellEnd"/>
      <w:proofErr w:type="gramEnd"/>
      <w:r>
        <w:rPr>
          <w:color w:val="000000"/>
        </w:rPr>
        <w:t xml:space="preserve"> of risk, or inclusion of speculative or hypothetical risks, could discourage appropriate use of a beneficial drug.”</w:t>
      </w:r>
      <w:bookmarkStart w:id="50" w:name="co_footnoteReference_B00262041287330_ID0"/>
      <w:bookmarkEnd w:id="50"/>
      <w:r>
        <w:rPr>
          <w:color w:val="000000"/>
          <w:sz w:val="16"/>
          <w:szCs w:val="16"/>
        </w:rPr>
        <w:fldChar w:fldCharType="begin"/>
      </w:r>
      <w:r>
        <w:rPr>
          <w:color w:val="000000"/>
          <w:sz w:val="16"/>
          <w:szCs w:val="16"/>
        </w:rPr>
        <w:instrText xml:space="preserve">HYPERLINK "#co_footnote_B00262041287330_1" </w:instrText>
      </w:r>
      <w:r w:rsidR="00F61700">
        <w:rPr>
          <w:color w:val="000000"/>
          <w:sz w:val="16"/>
          <w:szCs w:val="16"/>
        </w:rPr>
      </w:r>
      <w:r>
        <w:rPr>
          <w:color w:val="000000"/>
          <w:sz w:val="16"/>
          <w:szCs w:val="16"/>
        </w:rPr>
        <w:fldChar w:fldCharType="separate"/>
      </w:r>
      <w:r>
        <w:rPr>
          <w:color w:val="000000"/>
          <w:sz w:val="16"/>
          <w:szCs w:val="16"/>
          <w:vertAlign w:val="superscript"/>
        </w:rPr>
        <w:t>25</w:t>
      </w:r>
      <w:r>
        <w:rPr>
          <w:color w:val="000000"/>
          <w:sz w:val="16"/>
          <w:szCs w:val="16"/>
        </w:rPr>
        <w:fldChar w:fldCharType="end"/>
      </w:r>
      <w:r>
        <w:rPr>
          <w:color w:val="000000"/>
        </w:rPr>
        <w:t xml:space="preserve"> Moreover, “labeling that includes theoretical hazards not well-grounded in scientific evidence can cause meaningful risk information to lose its significance.”</w:t>
      </w:r>
      <w:bookmarkStart w:id="51" w:name="co_footnoteReference_B00272041287330_ID0"/>
      <w:bookmarkEnd w:id="51"/>
      <w:r>
        <w:rPr>
          <w:color w:val="000000"/>
          <w:sz w:val="16"/>
          <w:szCs w:val="16"/>
        </w:rPr>
        <w:fldChar w:fldCharType="begin"/>
      </w:r>
      <w:r>
        <w:rPr>
          <w:color w:val="000000"/>
          <w:sz w:val="16"/>
          <w:szCs w:val="16"/>
        </w:rPr>
        <w:instrText xml:space="preserve">HYPERLINK "#co_footnote_B00272041287330_1" </w:instrText>
      </w:r>
      <w:r w:rsidR="00F61700">
        <w:rPr>
          <w:color w:val="000000"/>
          <w:sz w:val="16"/>
          <w:szCs w:val="16"/>
        </w:rPr>
      </w:r>
      <w:r>
        <w:rPr>
          <w:color w:val="000000"/>
          <w:sz w:val="16"/>
          <w:szCs w:val="16"/>
        </w:rPr>
        <w:fldChar w:fldCharType="separate"/>
      </w:r>
      <w:r>
        <w:rPr>
          <w:color w:val="000000"/>
          <w:sz w:val="16"/>
          <w:szCs w:val="16"/>
          <w:vertAlign w:val="superscript"/>
        </w:rPr>
        <w:t>26</w:t>
      </w:r>
      <w:r>
        <w:rPr>
          <w:color w:val="000000"/>
          <w:sz w:val="16"/>
          <w:szCs w:val="16"/>
        </w:rPr>
        <w:fldChar w:fldCharType="end"/>
      </w:r>
      <w:r>
        <w:rPr>
          <w:color w:val="000000"/>
        </w:rPr>
        <w:t xml:space="preserve"> Accordingly, the FDA will reject a PAS application or CBE amendment if there is insufficient evidence of a causal link between drug use and the adverse event.</w:t>
      </w:r>
      <w:bookmarkStart w:id="52" w:name="co_footnoteReference_B00282041287330_ID0"/>
      <w:bookmarkEnd w:id="52"/>
      <w:r>
        <w:rPr>
          <w:color w:val="000000"/>
          <w:sz w:val="16"/>
          <w:szCs w:val="16"/>
        </w:rPr>
        <w:fldChar w:fldCharType="begin"/>
      </w:r>
      <w:r>
        <w:rPr>
          <w:color w:val="000000"/>
          <w:sz w:val="16"/>
          <w:szCs w:val="16"/>
        </w:rPr>
        <w:instrText xml:space="preserve">HYPERLINK "#co_footnote_B00282041287330_1" </w:instrText>
      </w:r>
      <w:r w:rsidR="00F61700">
        <w:rPr>
          <w:color w:val="000000"/>
          <w:sz w:val="16"/>
          <w:szCs w:val="16"/>
        </w:rPr>
      </w:r>
      <w:r>
        <w:rPr>
          <w:color w:val="000000"/>
          <w:sz w:val="16"/>
          <w:szCs w:val="16"/>
        </w:rPr>
        <w:fldChar w:fldCharType="separate"/>
      </w:r>
      <w:r>
        <w:rPr>
          <w:color w:val="000000"/>
          <w:sz w:val="16"/>
          <w:szCs w:val="16"/>
          <w:vertAlign w:val="superscript"/>
        </w:rPr>
        <w:t>27</w:t>
      </w:r>
      <w:r>
        <w:rPr>
          <w:color w:val="000000"/>
          <w:sz w:val="16"/>
          <w:szCs w:val="16"/>
        </w:rPr>
        <w:fldChar w:fldCharType="end"/>
      </w:r>
    </w:p>
    <w:p w14:paraId="3E1E5AFE"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775A4810" w14:textId="77777777">
        <w:tblPrEx>
          <w:tblCellMar>
            <w:top w:w="0" w:type="dxa"/>
            <w:left w:w="0" w:type="dxa"/>
            <w:bottom w:w="0" w:type="dxa"/>
            <w:right w:w="0" w:type="dxa"/>
          </w:tblCellMar>
        </w:tblPrEx>
        <w:tc>
          <w:tcPr>
            <w:tcW w:w="600" w:type="dxa"/>
            <w:tcBorders>
              <w:top w:val="nil"/>
              <w:left w:val="nil"/>
              <w:bottom w:val="nil"/>
              <w:right w:val="nil"/>
            </w:tcBorders>
          </w:tcPr>
          <w:bookmarkStart w:id="53" w:name="co_footnote_B00262041287330_1"/>
          <w:bookmarkEnd w:id="53"/>
          <w:p w14:paraId="2D958C9B"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"#co_footnoteReference_B00262041287330_ID0" </w:instrText>
            </w:r>
            <w:r w:rsidR="00F61700">
              <w:rPr>
                <w:color w:val="000000"/>
              </w:rPr>
            </w:r>
            <w:r>
              <w:rPr>
                <w:color w:val="000000"/>
              </w:rPr>
              <w:fldChar w:fldCharType="separate"/>
            </w:r>
            <w:r>
              <w:rPr>
                <w:color w:val="000000"/>
                <w:vertAlign w:val="superscript"/>
              </w:rPr>
              <w:t>25</w:t>
            </w:r>
            <w:r>
              <w:rPr>
                <w:color w:val="000000"/>
              </w:rPr>
              <w:fldChar w:fldCharType="end"/>
            </w:r>
          </w:p>
          <w:p w14:paraId="5D3FD0FA"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7440E946" w14:textId="77777777" w:rsidR="00793DC4" w:rsidRDefault="00793DC4">
            <w:pPr>
              <w:widowControl w:val="0"/>
              <w:autoSpaceDE w:val="0"/>
              <w:autoSpaceDN w:val="0"/>
              <w:adjustRightInd w:val="0"/>
              <w:jc w:val="both"/>
              <w:rPr>
                <w:color w:val="000000"/>
                <w:sz w:val="18"/>
                <w:szCs w:val="18"/>
              </w:rPr>
            </w:pPr>
            <w:hyperlink r:id="rId93" w:history="1">
              <w:r>
                <w:rPr>
                  <w:color w:val="000000"/>
                  <w:sz w:val="18"/>
                  <w:szCs w:val="18"/>
                </w:rPr>
                <w:t>73 Fed. Reg. 2848, 2851 (Jan. 16, 2008)</w:t>
              </w:r>
            </w:hyperlink>
            <w:r>
              <w:rPr>
                <w:color w:val="000000"/>
                <w:sz w:val="18"/>
                <w:szCs w:val="18"/>
              </w:rPr>
              <w:t>.</w:t>
            </w:r>
          </w:p>
          <w:p w14:paraId="79421631" w14:textId="77777777" w:rsidR="00793DC4" w:rsidRDefault="00793DC4">
            <w:pPr>
              <w:widowControl w:val="0"/>
              <w:autoSpaceDE w:val="0"/>
              <w:autoSpaceDN w:val="0"/>
              <w:adjustRightInd w:val="0"/>
              <w:jc w:val="both"/>
              <w:rPr>
                <w:color w:val="000000"/>
                <w:sz w:val="18"/>
                <w:szCs w:val="18"/>
              </w:rPr>
            </w:pPr>
          </w:p>
        </w:tc>
      </w:tr>
    </w:tbl>
    <w:p w14:paraId="5D8B8E2A"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15FEBBE4" w14:textId="77777777">
        <w:tblPrEx>
          <w:tblCellMar>
            <w:top w:w="0" w:type="dxa"/>
            <w:left w:w="0" w:type="dxa"/>
            <w:bottom w:w="0" w:type="dxa"/>
            <w:right w:w="0" w:type="dxa"/>
          </w:tblCellMar>
        </w:tblPrEx>
        <w:tc>
          <w:tcPr>
            <w:tcW w:w="600" w:type="dxa"/>
            <w:tcBorders>
              <w:top w:val="nil"/>
              <w:left w:val="nil"/>
              <w:bottom w:val="nil"/>
              <w:right w:val="nil"/>
            </w:tcBorders>
          </w:tcPr>
          <w:bookmarkStart w:id="54" w:name="co_footnote_B00272041287330_1"/>
          <w:bookmarkEnd w:id="54"/>
          <w:p w14:paraId="4DD9C0F1"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"#co_footnoteReference_B00272041287330_ID0" </w:instrText>
            </w:r>
            <w:r w:rsidR="00F61700">
              <w:rPr>
                <w:color w:val="000000"/>
              </w:rPr>
            </w:r>
            <w:r>
              <w:rPr>
                <w:color w:val="000000"/>
              </w:rPr>
              <w:fldChar w:fldCharType="separate"/>
            </w:r>
            <w:r>
              <w:rPr>
                <w:color w:val="000000"/>
                <w:vertAlign w:val="superscript"/>
              </w:rPr>
              <w:t>26</w:t>
            </w:r>
            <w:r>
              <w:rPr>
                <w:color w:val="000000"/>
              </w:rPr>
              <w:fldChar w:fldCharType="end"/>
            </w:r>
          </w:p>
          <w:p w14:paraId="35CBB5AB"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63052BF9" w14:textId="77777777" w:rsidR="00793DC4" w:rsidRDefault="00793DC4">
            <w:pPr>
              <w:widowControl w:val="0"/>
              <w:autoSpaceDE w:val="0"/>
              <w:autoSpaceDN w:val="0"/>
              <w:adjustRightInd w:val="0"/>
              <w:jc w:val="both"/>
              <w:rPr>
                <w:color w:val="000000"/>
                <w:sz w:val="18"/>
                <w:szCs w:val="18"/>
              </w:rPr>
            </w:pPr>
            <w:hyperlink r:id="rId94" w:history="1">
              <w:r>
                <w:rPr>
                  <w:i/>
                  <w:iCs/>
                  <w:color w:val="000000"/>
                  <w:sz w:val="18"/>
                  <w:szCs w:val="18"/>
                </w:rPr>
                <w:t>Id</w:t>
              </w:r>
              <w:r>
                <w:rPr>
                  <w:color w:val="000000"/>
                  <w:sz w:val="18"/>
                  <w:szCs w:val="18"/>
                </w:rPr>
                <w:t>.</w:t>
              </w:r>
            </w:hyperlink>
          </w:p>
          <w:p w14:paraId="5874DAE7" w14:textId="77777777" w:rsidR="00793DC4" w:rsidRDefault="00793DC4">
            <w:pPr>
              <w:widowControl w:val="0"/>
              <w:autoSpaceDE w:val="0"/>
              <w:autoSpaceDN w:val="0"/>
              <w:adjustRightInd w:val="0"/>
              <w:jc w:val="both"/>
              <w:rPr>
                <w:color w:val="000000"/>
                <w:sz w:val="18"/>
                <w:szCs w:val="18"/>
              </w:rPr>
            </w:pPr>
          </w:p>
        </w:tc>
      </w:tr>
    </w:tbl>
    <w:p w14:paraId="687AE9D9"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5F06E191" w14:textId="77777777">
        <w:tblPrEx>
          <w:tblCellMar>
            <w:top w:w="0" w:type="dxa"/>
            <w:left w:w="0" w:type="dxa"/>
            <w:bottom w:w="0" w:type="dxa"/>
            <w:right w:w="0" w:type="dxa"/>
          </w:tblCellMar>
        </w:tblPrEx>
        <w:tc>
          <w:tcPr>
            <w:tcW w:w="600" w:type="dxa"/>
            <w:tcBorders>
              <w:top w:val="nil"/>
              <w:left w:val="nil"/>
              <w:bottom w:val="nil"/>
              <w:right w:val="nil"/>
            </w:tcBorders>
          </w:tcPr>
          <w:bookmarkStart w:id="55" w:name="co_footnote_B00282041287330_1"/>
          <w:bookmarkEnd w:id="55"/>
          <w:p w14:paraId="4E6A29BC"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"#co_footnoteReference_B00282041287330_ID0" </w:instrText>
            </w:r>
            <w:r w:rsidR="00F61700">
              <w:rPr>
                <w:color w:val="000000"/>
              </w:rPr>
            </w:r>
            <w:r>
              <w:rPr>
                <w:color w:val="000000"/>
              </w:rPr>
              <w:fldChar w:fldCharType="separate"/>
            </w:r>
            <w:r>
              <w:rPr>
                <w:color w:val="000000"/>
                <w:vertAlign w:val="superscript"/>
              </w:rPr>
              <w:t>27</w:t>
            </w:r>
            <w:r>
              <w:rPr>
                <w:color w:val="000000"/>
              </w:rPr>
              <w:fldChar w:fldCharType="end"/>
            </w:r>
          </w:p>
          <w:p w14:paraId="59CFED75"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18D58B61" w14:textId="77777777" w:rsidR="00793DC4" w:rsidRDefault="00793DC4">
            <w:pPr>
              <w:widowControl w:val="0"/>
              <w:autoSpaceDE w:val="0"/>
              <w:autoSpaceDN w:val="0"/>
              <w:adjustRightInd w:val="0"/>
              <w:jc w:val="both"/>
              <w:rPr>
                <w:color w:val="000000"/>
                <w:sz w:val="18"/>
                <w:szCs w:val="18"/>
              </w:rPr>
            </w:pPr>
            <w:hyperlink r:id="rId95" w:history="1">
              <w:r>
                <w:rPr>
                  <w:i/>
                  <w:iCs/>
                  <w:color w:val="000000"/>
                  <w:sz w:val="18"/>
                  <w:szCs w:val="18"/>
                </w:rPr>
                <w:t>Id.</w:t>
              </w:r>
            </w:hyperlink>
          </w:p>
          <w:p w14:paraId="5350D4F7" w14:textId="77777777" w:rsidR="00793DC4" w:rsidRDefault="00793DC4">
            <w:pPr>
              <w:widowControl w:val="0"/>
              <w:autoSpaceDE w:val="0"/>
              <w:autoSpaceDN w:val="0"/>
              <w:adjustRightInd w:val="0"/>
              <w:jc w:val="both"/>
              <w:rPr>
                <w:color w:val="000000"/>
                <w:sz w:val="18"/>
                <w:szCs w:val="18"/>
              </w:rPr>
            </w:pPr>
          </w:p>
        </w:tc>
      </w:tr>
    </w:tbl>
    <w:p w14:paraId="26086FB6" w14:textId="77777777" w:rsidR="00793DC4" w:rsidRDefault="00793DC4">
      <w:pPr>
        <w:widowControl w:val="0"/>
        <w:autoSpaceDE w:val="0"/>
        <w:autoSpaceDN w:val="0"/>
        <w:adjustRightInd w:val="0"/>
        <w:jc w:val="both"/>
        <w:rPr>
          <w:color w:val="000000"/>
        </w:rPr>
      </w:pPr>
    </w:p>
    <w:p w14:paraId="2CB27282" w14:textId="77777777" w:rsidR="00793DC4" w:rsidRDefault="00793DC4">
      <w:pPr>
        <w:widowControl w:val="0"/>
        <w:autoSpaceDE w:val="0"/>
        <w:autoSpaceDN w:val="0"/>
        <w:adjustRightInd w:val="0"/>
        <w:spacing w:before="400" w:after="200"/>
        <w:jc w:val="center"/>
        <w:rPr>
          <w:b/>
          <w:bCs/>
          <w:color w:val="000000"/>
        </w:rPr>
      </w:pPr>
      <w:r>
        <w:rPr>
          <w:b/>
          <w:bCs/>
          <w:color w:val="000000"/>
        </w:rPr>
        <w:t xml:space="preserve">C. </w:t>
      </w:r>
      <w:hyperlink r:id="rId96" w:history="1">
        <w:r>
          <w:rPr>
            <w:b/>
            <w:bCs/>
            <w:color w:val="000000"/>
          </w:rPr>
          <w:t>Fosamax</w:t>
        </w:r>
      </w:hyperlink>
      <w:r>
        <w:rPr>
          <w:b/>
          <w:bCs/>
          <w:color w:val="000000"/>
        </w:rPr>
        <w:t xml:space="preserve"> Labeling History</w:t>
      </w:r>
    </w:p>
    <w:p w14:paraId="54DFB373" w14:textId="77777777" w:rsidR="00793DC4" w:rsidRDefault="00793DC4">
      <w:pPr>
        <w:widowControl w:val="0"/>
        <w:autoSpaceDE w:val="0"/>
        <w:autoSpaceDN w:val="0"/>
        <w:adjustRightInd w:val="0"/>
        <w:jc w:val="both"/>
        <w:rPr>
          <w:color w:val="000000"/>
        </w:rPr>
      </w:pPr>
      <w:r>
        <w:rPr>
          <w:color w:val="000000"/>
        </w:rPr>
        <w:t xml:space="preserve">Both Merck and the FDA have long been aware that </w:t>
      </w:r>
      <w:proofErr w:type="spellStart"/>
      <w:r>
        <w:rPr>
          <w:color w:val="000000"/>
        </w:rPr>
        <w:t>antiresorptive</w:t>
      </w:r>
      <w:proofErr w:type="spellEnd"/>
      <w:r>
        <w:rPr>
          <w:color w:val="000000"/>
        </w:rPr>
        <w:t xml:space="preserve"> drugs like </w:t>
      </w:r>
      <w:hyperlink r:id="rId97" w:history="1">
        <w:r>
          <w:rPr>
            <w:color w:val="000000"/>
          </w:rPr>
          <w:t>Fosamax</w:t>
        </w:r>
      </w:hyperlink>
      <w:r>
        <w:rPr>
          <w:color w:val="000000"/>
        </w:rPr>
        <w:t xml:space="preserve"> could theoretically increase the risk of atypical </w:t>
      </w:r>
      <w:hyperlink r:id="rId98" w:history="1">
        <w:r>
          <w:rPr>
            <w:color w:val="000000"/>
          </w:rPr>
          <w:t>femoral fractures</w:t>
        </w:r>
      </w:hyperlink>
      <w:r>
        <w:rPr>
          <w:color w:val="000000"/>
        </w:rPr>
        <w:t xml:space="preserve">. The question that both Merck and the FDA faced in the years following the drug’s approval was whether the developing evidence of a causal link between </w:t>
      </w:r>
      <w:hyperlink r:id="rId99" w:history="1">
        <w:r>
          <w:rPr>
            <w:color w:val="000000"/>
          </w:rPr>
          <w:t>Fosamax</w:t>
        </w:r>
      </w:hyperlink>
      <w:r>
        <w:rPr>
          <w:color w:val="000000"/>
        </w:rPr>
        <w:t xml:space="preserve"> and atypical fractures was strong enough to require adding a warning to the </w:t>
      </w:r>
      <w:hyperlink r:id="rId100" w:history="1">
        <w:r>
          <w:rPr>
            <w:color w:val="000000"/>
          </w:rPr>
          <w:t>Fosamax</w:t>
        </w:r>
      </w:hyperlink>
      <w:r>
        <w:rPr>
          <w:color w:val="000000"/>
        </w:rPr>
        <w:t xml:space="preserve"> drug label. As explained further in Section II of this opinion, the primary question in this appeal is whether, prior to September 2010, the FDA would have rejected an attempt by Merck to unilaterally amend the </w:t>
      </w:r>
      <w:hyperlink r:id="rId101" w:history="1">
        <w:r>
          <w:rPr>
            <w:color w:val="000000"/>
          </w:rPr>
          <w:t>Fosamax</w:t>
        </w:r>
      </w:hyperlink>
      <w:r>
        <w:rPr>
          <w:color w:val="000000"/>
        </w:rPr>
        <w:t xml:space="preserve"> label (via a CBE submission) to include a warning about the risk of atypical </w:t>
      </w:r>
      <w:hyperlink r:id="rId102" w:history="1">
        <w:r>
          <w:rPr>
            <w:color w:val="000000"/>
          </w:rPr>
          <w:t>femoral fractures</w:t>
        </w:r>
      </w:hyperlink>
      <w:r>
        <w:rPr>
          <w:color w:val="000000"/>
        </w:rPr>
        <w:t>. The following evidence bears on that question.</w:t>
      </w:r>
    </w:p>
    <w:p w14:paraId="24F434E5" w14:textId="77777777" w:rsidR="00793DC4" w:rsidRDefault="00793DC4">
      <w:pPr>
        <w:widowControl w:val="0"/>
        <w:autoSpaceDE w:val="0"/>
        <w:autoSpaceDN w:val="0"/>
        <w:adjustRightInd w:val="0"/>
        <w:jc w:val="both"/>
        <w:rPr>
          <w:color w:val="000000"/>
        </w:rPr>
      </w:pPr>
      <w:r>
        <w:rPr>
          <w:color w:val="000000"/>
        </w:rPr>
        <w:t> </w:t>
      </w:r>
    </w:p>
    <w:p w14:paraId="479E012B" w14:textId="77777777" w:rsidR="00793DC4" w:rsidRDefault="00793DC4">
      <w:pPr>
        <w:widowControl w:val="0"/>
        <w:autoSpaceDE w:val="0"/>
        <w:autoSpaceDN w:val="0"/>
        <w:adjustRightInd w:val="0"/>
        <w:spacing w:before="400" w:after="200"/>
        <w:jc w:val="center"/>
        <w:rPr>
          <w:color w:val="000000"/>
        </w:rPr>
      </w:pPr>
      <w:r>
        <w:rPr>
          <w:b/>
          <w:bCs/>
          <w:color w:val="000000"/>
        </w:rPr>
        <w:t>*275</w:t>
      </w:r>
      <w:r>
        <w:rPr>
          <w:color w:val="000000"/>
        </w:rPr>
        <w:t xml:space="preserve"> </w:t>
      </w:r>
      <w:proofErr w:type="spellStart"/>
      <w:r>
        <w:rPr>
          <w:color w:val="000000"/>
        </w:rPr>
        <w:t>i</w:t>
      </w:r>
      <w:proofErr w:type="spellEnd"/>
      <w:r>
        <w:rPr>
          <w:color w:val="000000"/>
        </w:rPr>
        <w:t xml:space="preserve">. </w:t>
      </w:r>
      <w:r>
        <w:rPr>
          <w:color w:val="000000"/>
          <w:u w:val="single"/>
        </w:rPr>
        <w:t xml:space="preserve">Early Studies Suggest a Possible Link Between </w:t>
      </w:r>
      <w:hyperlink r:id="rId103" w:history="1">
        <w:r>
          <w:rPr>
            <w:color w:val="000000"/>
            <w:u w:val="single"/>
          </w:rPr>
          <w:t>Fosamax</w:t>
        </w:r>
      </w:hyperlink>
      <w:r>
        <w:rPr>
          <w:color w:val="000000"/>
          <w:u w:val="single"/>
        </w:rPr>
        <w:t xml:space="preserve"> and Atypical </w:t>
      </w:r>
      <w:hyperlink r:id="rId104" w:history="1">
        <w:r>
          <w:rPr>
            <w:color w:val="000000"/>
            <w:u w:val="single"/>
          </w:rPr>
          <w:t>Femoral Fractures</w:t>
        </w:r>
      </w:hyperlink>
    </w:p>
    <w:p w14:paraId="139FAF82" w14:textId="77777777" w:rsidR="00793DC4" w:rsidRDefault="00793DC4">
      <w:pPr>
        <w:widowControl w:val="0"/>
        <w:autoSpaceDE w:val="0"/>
        <w:autoSpaceDN w:val="0"/>
        <w:adjustRightInd w:val="0"/>
        <w:jc w:val="both"/>
        <w:rPr>
          <w:color w:val="000000"/>
        </w:rPr>
      </w:pPr>
      <w:r>
        <w:rPr>
          <w:color w:val="000000"/>
        </w:rPr>
        <w:t xml:space="preserve">During </w:t>
      </w:r>
      <w:hyperlink r:id="rId105" w:history="1">
        <w:r>
          <w:rPr>
            <w:color w:val="000000"/>
          </w:rPr>
          <w:t>Fosamax</w:t>
        </w:r>
      </w:hyperlink>
      <w:r>
        <w:rPr>
          <w:color w:val="000000"/>
        </w:rPr>
        <w:t xml:space="preserve">’s development, Merck scientists and third-party researchers discussed the possibility that </w:t>
      </w:r>
      <w:proofErr w:type="spellStart"/>
      <w:r>
        <w:rPr>
          <w:color w:val="000000"/>
        </w:rPr>
        <w:t>antiresorptive</w:t>
      </w:r>
      <w:proofErr w:type="spellEnd"/>
      <w:r>
        <w:rPr>
          <w:color w:val="000000"/>
        </w:rPr>
        <w:t xml:space="preserve"> drugs could inhibit a bone’s ability to repair </w:t>
      </w:r>
      <w:proofErr w:type="spellStart"/>
      <w:r>
        <w:rPr>
          <w:color w:val="000000"/>
        </w:rPr>
        <w:t>microdamage</w:t>
      </w:r>
      <w:proofErr w:type="spellEnd"/>
      <w:r>
        <w:rPr>
          <w:color w:val="000000"/>
        </w:rPr>
        <w:t xml:space="preserve">, potentially leading to </w:t>
      </w:r>
      <w:hyperlink r:id="rId106" w:history="1">
        <w:r>
          <w:rPr>
            <w:color w:val="000000"/>
          </w:rPr>
          <w:t>stress fractures</w:t>
        </w:r>
      </w:hyperlink>
      <w:r>
        <w:rPr>
          <w:color w:val="000000"/>
        </w:rPr>
        <w:t xml:space="preserve">. In 1992, prior to FDA approval, Merck informed the </w:t>
      </w:r>
      <w:proofErr w:type="gramStart"/>
      <w:r>
        <w:rPr>
          <w:color w:val="000000"/>
        </w:rPr>
        <w:t>FDA that</w:t>
      </w:r>
      <w:proofErr w:type="gramEnd"/>
      <w:r>
        <w:rPr>
          <w:color w:val="000000"/>
        </w:rPr>
        <w:t xml:space="preserve"> “</w:t>
      </w:r>
      <w:proofErr w:type="spellStart"/>
      <w:r>
        <w:rPr>
          <w:color w:val="000000"/>
        </w:rPr>
        <w:t>antiresorptive</w:t>
      </w:r>
      <w:proofErr w:type="spellEnd"/>
      <w:r>
        <w:rPr>
          <w:color w:val="000000"/>
        </w:rPr>
        <w:t xml:space="preserve"> agents may inhibit </w:t>
      </w:r>
      <w:proofErr w:type="spellStart"/>
      <w:r>
        <w:rPr>
          <w:color w:val="000000"/>
        </w:rPr>
        <w:t>microdamage</w:t>
      </w:r>
      <w:proofErr w:type="spellEnd"/>
      <w:r>
        <w:rPr>
          <w:color w:val="000000"/>
        </w:rPr>
        <w:t xml:space="preserve"> repair by preventing ... bone </w:t>
      </w:r>
      <w:proofErr w:type="spellStart"/>
      <w:r>
        <w:rPr>
          <w:color w:val="000000"/>
        </w:rPr>
        <w:t>resorption</w:t>
      </w:r>
      <w:proofErr w:type="spellEnd"/>
      <w:r>
        <w:rPr>
          <w:color w:val="000000"/>
        </w:rPr>
        <w:t xml:space="preserve"> at the sites of microdamage.”</w:t>
      </w:r>
      <w:bookmarkStart w:id="56" w:name="co_footnoteReference_B00292041287330_ID0"/>
      <w:bookmarkEnd w:id="56"/>
      <w:r>
        <w:rPr>
          <w:color w:val="000000"/>
          <w:sz w:val="16"/>
          <w:szCs w:val="16"/>
        </w:rPr>
        <w:fldChar w:fldCharType="begin"/>
      </w:r>
      <w:r>
        <w:rPr>
          <w:color w:val="000000"/>
          <w:sz w:val="16"/>
          <w:szCs w:val="16"/>
        </w:rPr>
        <w:instrText xml:space="preserve">HYPERLINK "#co_footnote_B00292041287330_1" </w:instrText>
      </w:r>
      <w:r w:rsidR="00F61700">
        <w:rPr>
          <w:color w:val="000000"/>
          <w:sz w:val="16"/>
          <w:szCs w:val="16"/>
        </w:rPr>
      </w:r>
      <w:r>
        <w:rPr>
          <w:color w:val="000000"/>
          <w:sz w:val="16"/>
          <w:szCs w:val="16"/>
        </w:rPr>
        <w:fldChar w:fldCharType="separate"/>
      </w:r>
      <w:r>
        <w:rPr>
          <w:color w:val="000000"/>
          <w:sz w:val="16"/>
          <w:szCs w:val="16"/>
          <w:vertAlign w:val="superscript"/>
        </w:rPr>
        <w:t>28</w:t>
      </w:r>
      <w:r>
        <w:rPr>
          <w:color w:val="000000"/>
          <w:sz w:val="16"/>
          <w:szCs w:val="16"/>
        </w:rPr>
        <w:fldChar w:fldCharType="end"/>
      </w:r>
      <w:r>
        <w:rPr>
          <w:color w:val="000000"/>
        </w:rPr>
        <w:t xml:space="preserve"> Nonetheless, when the FDA approved </w:t>
      </w:r>
      <w:hyperlink r:id="rId107" w:history="1">
        <w:r>
          <w:rPr>
            <w:color w:val="000000"/>
          </w:rPr>
          <w:t>Fosamax</w:t>
        </w:r>
      </w:hyperlink>
      <w:r>
        <w:rPr>
          <w:color w:val="000000"/>
        </w:rPr>
        <w:t xml:space="preserve"> in 1995 for the treatment of </w:t>
      </w:r>
      <w:hyperlink r:id="rId108" w:history="1">
        <w:r>
          <w:rPr>
            <w:color w:val="000000"/>
          </w:rPr>
          <w:t>osteoporosis</w:t>
        </w:r>
      </w:hyperlink>
      <w:r>
        <w:rPr>
          <w:color w:val="000000"/>
        </w:rPr>
        <w:t xml:space="preserve"> in postmenopausal women, it did not require Merck to include a warning about bone fractures. Nor did it do so in 1997, when it approved </w:t>
      </w:r>
      <w:hyperlink r:id="rId109" w:history="1">
        <w:r>
          <w:rPr>
            <w:color w:val="000000"/>
          </w:rPr>
          <w:t>Fosamax</w:t>
        </w:r>
      </w:hyperlink>
      <w:r>
        <w:rPr>
          <w:color w:val="000000"/>
        </w:rPr>
        <w:t xml:space="preserve"> for the prevention of </w:t>
      </w:r>
      <w:hyperlink r:id="rId110" w:history="1">
        <w:r>
          <w:rPr>
            <w:color w:val="000000"/>
          </w:rPr>
          <w:t>osteoporosis</w:t>
        </w:r>
      </w:hyperlink>
      <w:r>
        <w:rPr>
          <w:color w:val="000000"/>
        </w:rPr>
        <w:t xml:space="preserve"> in postmenopausal women.</w:t>
      </w:r>
    </w:p>
    <w:p w14:paraId="701CBC61"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11833A7E" w14:textId="77777777">
        <w:tblPrEx>
          <w:tblCellMar>
            <w:top w:w="0" w:type="dxa"/>
            <w:left w:w="0" w:type="dxa"/>
            <w:bottom w:w="0" w:type="dxa"/>
            <w:right w:w="0" w:type="dxa"/>
          </w:tblCellMar>
        </w:tblPrEx>
        <w:tc>
          <w:tcPr>
            <w:tcW w:w="600" w:type="dxa"/>
            <w:tcBorders>
              <w:top w:val="nil"/>
              <w:left w:val="nil"/>
              <w:bottom w:val="nil"/>
              <w:right w:val="nil"/>
            </w:tcBorders>
          </w:tcPr>
          <w:bookmarkStart w:id="57" w:name="co_footnote_B00292041287330_1"/>
          <w:bookmarkEnd w:id="57"/>
          <w:p w14:paraId="1973D13F"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"#co_footnoteReference_B00292041287330_ID0" </w:instrText>
            </w:r>
            <w:r w:rsidR="00F61700">
              <w:rPr>
                <w:color w:val="000000"/>
              </w:rPr>
            </w:r>
            <w:r>
              <w:rPr>
                <w:color w:val="000000"/>
              </w:rPr>
              <w:fldChar w:fldCharType="separate"/>
            </w:r>
            <w:r>
              <w:rPr>
                <w:color w:val="000000"/>
                <w:vertAlign w:val="superscript"/>
              </w:rPr>
              <w:t>28</w:t>
            </w:r>
            <w:r>
              <w:rPr>
                <w:color w:val="000000"/>
              </w:rPr>
              <w:fldChar w:fldCharType="end"/>
            </w:r>
          </w:p>
          <w:p w14:paraId="0B2F290B"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2B464597" w14:textId="77777777" w:rsidR="00793DC4" w:rsidRDefault="00793DC4">
            <w:pPr>
              <w:widowControl w:val="0"/>
              <w:autoSpaceDE w:val="0"/>
              <w:autoSpaceDN w:val="0"/>
              <w:adjustRightInd w:val="0"/>
              <w:jc w:val="both"/>
              <w:rPr>
                <w:color w:val="000000"/>
                <w:sz w:val="18"/>
                <w:szCs w:val="18"/>
              </w:rPr>
            </w:pPr>
            <w:r>
              <w:rPr>
                <w:color w:val="000000"/>
                <w:sz w:val="18"/>
                <w:szCs w:val="18"/>
              </w:rPr>
              <w:t>A 1774.</w:t>
            </w:r>
          </w:p>
          <w:p w14:paraId="41E88D58" w14:textId="77777777" w:rsidR="00793DC4" w:rsidRDefault="00793DC4">
            <w:pPr>
              <w:widowControl w:val="0"/>
              <w:autoSpaceDE w:val="0"/>
              <w:autoSpaceDN w:val="0"/>
              <w:adjustRightInd w:val="0"/>
              <w:jc w:val="both"/>
              <w:rPr>
                <w:color w:val="000000"/>
                <w:sz w:val="18"/>
                <w:szCs w:val="18"/>
              </w:rPr>
            </w:pPr>
          </w:p>
        </w:tc>
      </w:tr>
    </w:tbl>
    <w:p w14:paraId="7267BF39" w14:textId="77777777" w:rsidR="00793DC4" w:rsidRDefault="00793DC4">
      <w:pPr>
        <w:widowControl w:val="0"/>
        <w:autoSpaceDE w:val="0"/>
        <w:autoSpaceDN w:val="0"/>
        <w:adjustRightInd w:val="0"/>
        <w:jc w:val="both"/>
        <w:rPr>
          <w:color w:val="000000"/>
        </w:rPr>
      </w:pPr>
    </w:p>
    <w:p w14:paraId="111FEA8A" w14:textId="77777777" w:rsidR="00793DC4" w:rsidRDefault="00793DC4">
      <w:pPr>
        <w:widowControl w:val="0"/>
        <w:autoSpaceDE w:val="0"/>
        <w:autoSpaceDN w:val="0"/>
        <w:adjustRightInd w:val="0"/>
        <w:jc w:val="both"/>
        <w:rPr>
          <w:color w:val="000000"/>
        </w:rPr>
      </w:pPr>
      <w:r>
        <w:rPr>
          <w:color w:val="000000"/>
        </w:rPr>
        <w:t xml:space="preserve">Between 1995 and 2010, scores of case studies, reports, and articles were published documenting possible connections between long-term bisphosphonate use and atypical </w:t>
      </w:r>
      <w:hyperlink r:id="rId111" w:history="1">
        <w:r>
          <w:rPr>
            <w:color w:val="000000"/>
          </w:rPr>
          <w:t>femoral fractures</w:t>
        </w:r>
      </w:hyperlink>
      <w:r>
        <w:rPr>
          <w:color w:val="000000"/>
        </w:rPr>
        <w:t xml:space="preserve">. Plaintiffs have directed our attention to six such studies from this period. None of these studies, however, concluded that </w:t>
      </w:r>
      <w:hyperlink r:id="rId112" w:history="1">
        <w:r>
          <w:rPr>
            <w:color w:val="000000"/>
          </w:rPr>
          <w:t>Fosamax</w:t>
        </w:r>
      </w:hyperlink>
      <w:r>
        <w:rPr>
          <w:color w:val="000000"/>
        </w:rPr>
        <w:t xml:space="preserve"> caused bone fractures, or even that </w:t>
      </w:r>
      <w:hyperlink r:id="rId113" w:history="1">
        <w:r>
          <w:rPr>
            <w:color w:val="000000"/>
          </w:rPr>
          <w:t>Fosamax</w:t>
        </w:r>
      </w:hyperlink>
      <w:r>
        <w:rPr>
          <w:color w:val="000000"/>
        </w:rPr>
        <w:t xml:space="preserve"> use was definitively associated with atypical fractures. Rather, they variously stated that </w:t>
      </w:r>
      <w:hyperlink r:id="rId114" w:history="1">
        <w:r>
          <w:rPr>
            <w:color w:val="000000"/>
          </w:rPr>
          <w:t>Fosamax</w:t>
        </w:r>
      </w:hyperlink>
      <w:r>
        <w:rPr>
          <w:color w:val="000000"/>
        </w:rPr>
        <w:t xml:space="preserve"> use “may ... potentially” increase the risk of fracture</w:t>
      </w:r>
      <w:bookmarkStart w:id="58" w:name="co_footnoteReference_B00302041287330_ID0"/>
      <w:bookmarkEnd w:id="58"/>
      <w:r>
        <w:rPr>
          <w:color w:val="000000"/>
          <w:sz w:val="16"/>
          <w:szCs w:val="16"/>
        </w:rPr>
        <w:fldChar w:fldCharType="begin"/>
      </w:r>
      <w:r>
        <w:rPr>
          <w:color w:val="000000"/>
          <w:sz w:val="16"/>
          <w:szCs w:val="16"/>
        </w:rPr>
        <w:instrText xml:space="preserve">HYPERLINK "#co_footnote_B00302041287330_1" </w:instrText>
      </w:r>
      <w:r w:rsidR="00F61700">
        <w:rPr>
          <w:color w:val="000000"/>
          <w:sz w:val="16"/>
          <w:szCs w:val="16"/>
        </w:rPr>
      </w:r>
      <w:r>
        <w:rPr>
          <w:color w:val="000000"/>
          <w:sz w:val="16"/>
          <w:szCs w:val="16"/>
        </w:rPr>
        <w:fldChar w:fldCharType="separate"/>
      </w:r>
      <w:r>
        <w:rPr>
          <w:color w:val="000000"/>
          <w:sz w:val="16"/>
          <w:szCs w:val="16"/>
          <w:vertAlign w:val="superscript"/>
        </w:rPr>
        <w:t>29</w:t>
      </w:r>
      <w:r>
        <w:rPr>
          <w:color w:val="000000"/>
          <w:sz w:val="16"/>
          <w:szCs w:val="16"/>
        </w:rPr>
        <w:fldChar w:fldCharType="end"/>
      </w:r>
      <w:r>
        <w:rPr>
          <w:color w:val="000000"/>
        </w:rPr>
        <w:t xml:space="preserve"> or “may be associated” with </w:t>
      </w:r>
      <w:hyperlink r:id="rId115" w:history="1">
        <w:r>
          <w:rPr>
            <w:color w:val="000000"/>
          </w:rPr>
          <w:t>insufficiency fractures</w:t>
        </w:r>
      </w:hyperlink>
      <w:r>
        <w:rPr>
          <w:color w:val="000000"/>
        </w:rPr>
        <w:t>,</w:t>
      </w:r>
      <w:bookmarkStart w:id="59" w:name="co_footnoteReference_B00312041287330_ID0"/>
      <w:bookmarkEnd w:id="59"/>
      <w:r>
        <w:rPr>
          <w:color w:val="000000"/>
          <w:sz w:val="16"/>
          <w:szCs w:val="16"/>
        </w:rPr>
        <w:fldChar w:fldCharType="begin"/>
      </w:r>
      <w:r>
        <w:rPr>
          <w:color w:val="000000"/>
          <w:sz w:val="16"/>
          <w:szCs w:val="16"/>
        </w:rPr>
        <w:instrText xml:space="preserve">HYPERLINK "#co_footnote_B00312041287330_1" </w:instrText>
      </w:r>
      <w:r w:rsidR="00F61700">
        <w:rPr>
          <w:color w:val="000000"/>
          <w:sz w:val="16"/>
          <w:szCs w:val="16"/>
        </w:rPr>
      </w:r>
      <w:r>
        <w:rPr>
          <w:color w:val="000000"/>
          <w:sz w:val="16"/>
          <w:szCs w:val="16"/>
        </w:rPr>
        <w:fldChar w:fldCharType="separate"/>
      </w:r>
      <w:r>
        <w:rPr>
          <w:color w:val="000000"/>
          <w:sz w:val="16"/>
          <w:szCs w:val="16"/>
          <w:vertAlign w:val="superscript"/>
        </w:rPr>
        <w:t>30</w:t>
      </w:r>
      <w:r>
        <w:rPr>
          <w:color w:val="000000"/>
          <w:sz w:val="16"/>
          <w:szCs w:val="16"/>
        </w:rPr>
        <w:fldChar w:fldCharType="end"/>
      </w:r>
      <w:r>
        <w:rPr>
          <w:color w:val="000000"/>
        </w:rPr>
        <w:t xml:space="preserve"> or that certain findings “raise[d] the possibility” that </w:t>
      </w:r>
      <w:hyperlink r:id="rId116" w:history="1">
        <w:r>
          <w:rPr>
            <w:color w:val="000000"/>
          </w:rPr>
          <w:t>Fosamax</w:t>
        </w:r>
      </w:hyperlink>
      <w:r>
        <w:rPr>
          <w:color w:val="000000"/>
        </w:rPr>
        <w:t xml:space="preserve"> use led to fractures.</w:t>
      </w:r>
      <w:bookmarkStart w:id="60" w:name="co_footnoteReference_B00322041287330_ID0"/>
      <w:bookmarkEnd w:id="60"/>
      <w:r>
        <w:rPr>
          <w:color w:val="000000"/>
          <w:sz w:val="16"/>
          <w:szCs w:val="16"/>
        </w:rPr>
        <w:fldChar w:fldCharType="begin"/>
      </w:r>
      <w:r>
        <w:rPr>
          <w:color w:val="000000"/>
          <w:sz w:val="16"/>
          <w:szCs w:val="16"/>
        </w:rPr>
        <w:instrText xml:space="preserve">HYPERLINK "#co_footnote_B00322041287330_1" </w:instrText>
      </w:r>
      <w:r w:rsidR="00F61700">
        <w:rPr>
          <w:color w:val="000000"/>
          <w:sz w:val="16"/>
          <w:szCs w:val="16"/>
        </w:rPr>
      </w:r>
      <w:r>
        <w:rPr>
          <w:color w:val="000000"/>
          <w:sz w:val="16"/>
          <w:szCs w:val="16"/>
        </w:rPr>
        <w:fldChar w:fldCharType="separate"/>
      </w:r>
      <w:r>
        <w:rPr>
          <w:color w:val="000000"/>
          <w:sz w:val="16"/>
          <w:szCs w:val="16"/>
          <w:vertAlign w:val="superscript"/>
        </w:rPr>
        <w:t>31</w:t>
      </w:r>
      <w:r>
        <w:rPr>
          <w:color w:val="000000"/>
          <w:sz w:val="16"/>
          <w:szCs w:val="16"/>
        </w:rPr>
        <w:fldChar w:fldCharType="end"/>
      </w:r>
      <w:r>
        <w:rPr>
          <w:color w:val="000000"/>
        </w:rPr>
        <w:t xml:space="preserve"> Merck’s assertion that the link between </w:t>
      </w:r>
      <w:hyperlink r:id="rId117" w:history="1">
        <w:r>
          <w:rPr>
            <w:color w:val="000000"/>
          </w:rPr>
          <w:t>Fosamax</w:t>
        </w:r>
      </w:hyperlink>
      <w:r>
        <w:rPr>
          <w:color w:val="000000"/>
        </w:rPr>
        <w:t xml:space="preserve"> and fracturing “remained hypothetical and unsubstantiated”</w:t>
      </w:r>
      <w:bookmarkStart w:id="61" w:name="co_footnoteReference_B00332041287330_ID0"/>
      <w:bookmarkEnd w:id="61"/>
      <w:r>
        <w:rPr>
          <w:color w:val="000000"/>
          <w:sz w:val="16"/>
          <w:szCs w:val="16"/>
        </w:rPr>
        <w:fldChar w:fldCharType="begin"/>
      </w:r>
      <w:r>
        <w:rPr>
          <w:color w:val="000000"/>
          <w:sz w:val="16"/>
          <w:szCs w:val="16"/>
        </w:rPr>
        <w:instrText xml:space="preserve">HYPERLINK "#co_footnote_B00332041287330_1" </w:instrText>
      </w:r>
      <w:r w:rsidR="00F61700">
        <w:rPr>
          <w:color w:val="000000"/>
          <w:sz w:val="16"/>
          <w:szCs w:val="16"/>
        </w:rPr>
      </w:r>
      <w:r>
        <w:rPr>
          <w:color w:val="000000"/>
          <w:sz w:val="16"/>
          <w:szCs w:val="16"/>
        </w:rPr>
        <w:fldChar w:fldCharType="separate"/>
      </w:r>
      <w:r>
        <w:rPr>
          <w:color w:val="000000"/>
          <w:sz w:val="16"/>
          <w:szCs w:val="16"/>
          <w:vertAlign w:val="superscript"/>
        </w:rPr>
        <w:t>32</w:t>
      </w:r>
      <w:r>
        <w:rPr>
          <w:color w:val="000000"/>
          <w:sz w:val="16"/>
          <w:szCs w:val="16"/>
        </w:rPr>
        <w:fldChar w:fldCharType="end"/>
      </w:r>
      <w:r>
        <w:rPr>
          <w:color w:val="000000"/>
        </w:rPr>
        <w:t xml:space="preserve"> may be an understatement, but not even Plaintiffs suggest that there was definitive proof of a causal connection at this time.</w:t>
      </w:r>
    </w:p>
    <w:p w14:paraId="10757B4A"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7D7252DC" w14:textId="77777777">
        <w:tblPrEx>
          <w:tblCellMar>
            <w:top w:w="0" w:type="dxa"/>
            <w:left w:w="0" w:type="dxa"/>
            <w:bottom w:w="0" w:type="dxa"/>
            <w:right w:w="0" w:type="dxa"/>
          </w:tblCellMar>
        </w:tblPrEx>
        <w:tc>
          <w:tcPr>
            <w:tcW w:w="600" w:type="dxa"/>
            <w:tcBorders>
              <w:top w:val="nil"/>
              <w:left w:val="nil"/>
              <w:bottom w:val="nil"/>
              <w:right w:val="nil"/>
            </w:tcBorders>
          </w:tcPr>
          <w:bookmarkStart w:id="62" w:name="co_footnote_B00302041287330_1"/>
          <w:bookmarkEnd w:id="62"/>
          <w:p w14:paraId="0607807B"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"#co_footnoteReference_B00302041287330_ID0" </w:instrText>
            </w:r>
            <w:r w:rsidR="00F61700">
              <w:rPr>
                <w:color w:val="000000"/>
              </w:rPr>
            </w:r>
            <w:r>
              <w:rPr>
                <w:color w:val="000000"/>
              </w:rPr>
              <w:fldChar w:fldCharType="separate"/>
            </w:r>
            <w:r>
              <w:rPr>
                <w:color w:val="000000"/>
                <w:vertAlign w:val="superscript"/>
              </w:rPr>
              <w:t>29</w:t>
            </w:r>
            <w:r>
              <w:rPr>
                <w:color w:val="000000"/>
              </w:rPr>
              <w:fldChar w:fldCharType="end"/>
            </w:r>
          </w:p>
          <w:p w14:paraId="68D8A3CE"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5A110DB8" w14:textId="77777777" w:rsidR="00793DC4" w:rsidRDefault="00793DC4">
            <w:pPr>
              <w:widowControl w:val="0"/>
              <w:autoSpaceDE w:val="0"/>
              <w:autoSpaceDN w:val="0"/>
              <w:adjustRightInd w:val="0"/>
              <w:jc w:val="both"/>
              <w:rPr>
                <w:color w:val="000000"/>
                <w:sz w:val="18"/>
                <w:szCs w:val="18"/>
              </w:rPr>
            </w:pPr>
            <w:r>
              <w:rPr>
                <w:color w:val="000000"/>
                <w:sz w:val="18"/>
                <w:szCs w:val="18"/>
              </w:rPr>
              <w:t>A 1258.</w:t>
            </w:r>
          </w:p>
          <w:p w14:paraId="5B483DA9" w14:textId="77777777" w:rsidR="00793DC4" w:rsidRDefault="00793DC4">
            <w:pPr>
              <w:widowControl w:val="0"/>
              <w:autoSpaceDE w:val="0"/>
              <w:autoSpaceDN w:val="0"/>
              <w:adjustRightInd w:val="0"/>
              <w:jc w:val="both"/>
              <w:rPr>
                <w:color w:val="000000"/>
                <w:sz w:val="18"/>
                <w:szCs w:val="18"/>
              </w:rPr>
            </w:pPr>
          </w:p>
        </w:tc>
      </w:tr>
    </w:tbl>
    <w:p w14:paraId="25E1B34A"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53382465" w14:textId="77777777">
        <w:tblPrEx>
          <w:tblCellMar>
            <w:top w:w="0" w:type="dxa"/>
            <w:left w:w="0" w:type="dxa"/>
            <w:bottom w:w="0" w:type="dxa"/>
            <w:right w:w="0" w:type="dxa"/>
          </w:tblCellMar>
        </w:tblPrEx>
        <w:tc>
          <w:tcPr>
            <w:tcW w:w="600" w:type="dxa"/>
            <w:tcBorders>
              <w:top w:val="nil"/>
              <w:left w:val="nil"/>
              <w:bottom w:val="nil"/>
              <w:right w:val="nil"/>
            </w:tcBorders>
          </w:tcPr>
          <w:bookmarkStart w:id="63" w:name="co_footnote_B00312041287330_1"/>
          <w:bookmarkEnd w:id="63"/>
          <w:p w14:paraId="5EA7F0FA"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"#co_footnoteReference_B00312041287330_ID0" </w:instrText>
            </w:r>
            <w:r w:rsidR="00F61700">
              <w:rPr>
                <w:color w:val="000000"/>
              </w:rPr>
            </w:r>
            <w:r>
              <w:rPr>
                <w:color w:val="000000"/>
              </w:rPr>
              <w:fldChar w:fldCharType="separate"/>
            </w:r>
            <w:r>
              <w:rPr>
                <w:color w:val="000000"/>
                <w:vertAlign w:val="superscript"/>
              </w:rPr>
              <w:t>30</w:t>
            </w:r>
            <w:r>
              <w:rPr>
                <w:color w:val="000000"/>
              </w:rPr>
              <w:fldChar w:fldCharType="end"/>
            </w:r>
          </w:p>
          <w:p w14:paraId="6BD49184"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54DF67F8" w14:textId="77777777" w:rsidR="00793DC4" w:rsidRDefault="00793DC4">
            <w:pPr>
              <w:widowControl w:val="0"/>
              <w:autoSpaceDE w:val="0"/>
              <w:autoSpaceDN w:val="0"/>
              <w:adjustRightInd w:val="0"/>
              <w:jc w:val="both"/>
              <w:rPr>
                <w:color w:val="000000"/>
                <w:sz w:val="18"/>
                <w:szCs w:val="18"/>
              </w:rPr>
            </w:pPr>
            <w:r>
              <w:rPr>
                <w:color w:val="000000"/>
                <w:sz w:val="18"/>
                <w:szCs w:val="18"/>
              </w:rPr>
              <w:t>A 1237.</w:t>
            </w:r>
          </w:p>
          <w:p w14:paraId="19A4680B" w14:textId="77777777" w:rsidR="00793DC4" w:rsidRDefault="00793DC4">
            <w:pPr>
              <w:widowControl w:val="0"/>
              <w:autoSpaceDE w:val="0"/>
              <w:autoSpaceDN w:val="0"/>
              <w:adjustRightInd w:val="0"/>
              <w:jc w:val="both"/>
              <w:rPr>
                <w:color w:val="000000"/>
                <w:sz w:val="18"/>
                <w:szCs w:val="18"/>
              </w:rPr>
            </w:pPr>
          </w:p>
        </w:tc>
      </w:tr>
    </w:tbl>
    <w:p w14:paraId="2BD90B96"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7786E328" w14:textId="77777777">
        <w:tblPrEx>
          <w:tblCellMar>
            <w:top w:w="0" w:type="dxa"/>
            <w:left w:w="0" w:type="dxa"/>
            <w:bottom w:w="0" w:type="dxa"/>
            <w:right w:w="0" w:type="dxa"/>
          </w:tblCellMar>
        </w:tblPrEx>
        <w:tc>
          <w:tcPr>
            <w:tcW w:w="600" w:type="dxa"/>
            <w:tcBorders>
              <w:top w:val="nil"/>
              <w:left w:val="nil"/>
              <w:bottom w:val="nil"/>
              <w:right w:val="nil"/>
            </w:tcBorders>
          </w:tcPr>
          <w:bookmarkStart w:id="64" w:name="co_footnote_B00322041287330_1"/>
          <w:bookmarkEnd w:id="64"/>
          <w:p w14:paraId="409E4B9D"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"#co_footnoteReference_B00322041287330_ID0" </w:instrText>
            </w:r>
            <w:r w:rsidR="00F61700">
              <w:rPr>
                <w:color w:val="000000"/>
              </w:rPr>
            </w:r>
            <w:r>
              <w:rPr>
                <w:color w:val="000000"/>
              </w:rPr>
              <w:fldChar w:fldCharType="separate"/>
            </w:r>
            <w:r>
              <w:rPr>
                <w:color w:val="000000"/>
                <w:vertAlign w:val="superscript"/>
              </w:rPr>
              <w:t>31</w:t>
            </w:r>
            <w:r>
              <w:rPr>
                <w:color w:val="000000"/>
              </w:rPr>
              <w:fldChar w:fldCharType="end"/>
            </w:r>
          </w:p>
          <w:p w14:paraId="13C7A2E0"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6CC020DF" w14:textId="77777777" w:rsidR="00793DC4" w:rsidRDefault="00793DC4">
            <w:pPr>
              <w:widowControl w:val="0"/>
              <w:autoSpaceDE w:val="0"/>
              <w:autoSpaceDN w:val="0"/>
              <w:adjustRightInd w:val="0"/>
              <w:jc w:val="both"/>
              <w:rPr>
                <w:color w:val="000000"/>
                <w:sz w:val="18"/>
                <w:szCs w:val="18"/>
              </w:rPr>
            </w:pPr>
            <w:r>
              <w:rPr>
                <w:color w:val="000000"/>
                <w:sz w:val="18"/>
                <w:szCs w:val="18"/>
              </w:rPr>
              <w:t>A 1243.</w:t>
            </w:r>
          </w:p>
          <w:p w14:paraId="21B9FF61" w14:textId="77777777" w:rsidR="00793DC4" w:rsidRDefault="00793DC4">
            <w:pPr>
              <w:widowControl w:val="0"/>
              <w:autoSpaceDE w:val="0"/>
              <w:autoSpaceDN w:val="0"/>
              <w:adjustRightInd w:val="0"/>
              <w:jc w:val="both"/>
              <w:rPr>
                <w:color w:val="000000"/>
                <w:sz w:val="18"/>
                <w:szCs w:val="18"/>
              </w:rPr>
            </w:pPr>
          </w:p>
        </w:tc>
      </w:tr>
    </w:tbl>
    <w:p w14:paraId="0CC57B35"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19911839" w14:textId="77777777">
        <w:tblPrEx>
          <w:tblCellMar>
            <w:top w:w="0" w:type="dxa"/>
            <w:left w:w="0" w:type="dxa"/>
            <w:bottom w:w="0" w:type="dxa"/>
            <w:right w:w="0" w:type="dxa"/>
          </w:tblCellMar>
        </w:tblPrEx>
        <w:tc>
          <w:tcPr>
            <w:tcW w:w="600" w:type="dxa"/>
            <w:tcBorders>
              <w:top w:val="nil"/>
              <w:left w:val="nil"/>
              <w:bottom w:val="nil"/>
              <w:right w:val="nil"/>
            </w:tcBorders>
          </w:tcPr>
          <w:bookmarkStart w:id="65" w:name="co_footnote_B00332041287330_1"/>
          <w:bookmarkEnd w:id="65"/>
          <w:p w14:paraId="0F145588"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"#co_footnoteReference_B00332041287330_ID0" </w:instrText>
            </w:r>
            <w:r w:rsidR="00F61700">
              <w:rPr>
                <w:color w:val="000000"/>
              </w:rPr>
            </w:r>
            <w:r>
              <w:rPr>
                <w:color w:val="000000"/>
              </w:rPr>
              <w:fldChar w:fldCharType="separate"/>
            </w:r>
            <w:r>
              <w:rPr>
                <w:color w:val="000000"/>
                <w:vertAlign w:val="superscript"/>
              </w:rPr>
              <w:t>32</w:t>
            </w:r>
            <w:r>
              <w:rPr>
                <w:color w:val="000000"/>
              </w:rPr>
              <w:fldChar w:fldCharType="end"/>
            </w:r>
          </w:p>
          <w:p w14:paraId="1A21FB81"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24BA4713" w14:textId="77777777" w:rsidR="00793DC4" w:rsidRDefault="00793DC4">
            <w:pPr>
              <w:widowControl w:val="0"/>
              <w:autoSpaceDE w:val="0"/>
              <w:autoSpaceDN w:val="0"/>
              <w:adjustRightInd w:val="0"/>
              <w:jc w:val="both"/>
              <w:rPr>
                <w:color w:val="000000"/>
                <w:sz w:val="18"/>
                <w:szCs w:val="18"/>
              </w:rPr>
            </w:pPr>
            <w:r>
              <w:rPr>
                <w:color w:val="000000"/>
                <w:sz w:val="18"/>
                <w:szCs w:val="18"/>
              </w:rPr>
              <w:t>Merck Br. 8.</w:t>
            </w:r>
          </w:p>
          <w:p w14:paraId="19457B1F" w14:textId="77777777" w:rsidR="00793DC4" w:rsidRDefault="00793DC4">
            <w:pPr>
              <w:widowControl w:val="0"/>
              <w:autoSpaceDE w:val="0"/>
              <w:autoSpaceDN w:val="0"/>
              <w:adjustRightInd w:val="0"/>
              <w:jc w:val="both"/>
              <w:rPr>
                <w:color w:val="000000"/>
                <w:sz w:val="18"/>
                <w:szCs w:val="18"/>
              </w:rPr>
            </w:pPr>
          </w:p>
        </w:tc>
      </w:tr>
    </w:tbl>
    <w:p w14:paraId="6E5B12E1" w14:textId="77777777" w:rsidR="00793DC4" w:rsidRDefault="00793DC4">
      <w:pPr>
        <w:widowControl w:val="0"/>
        <w:autoSpaceDE w:val="0"/>
        <w:autoSpaceDN w:val="0"/>
        <w:adjustRightInd w:val="0"/>
        <w:jc w:val="both"/>
        <w:rPr>
          <w:color w:val="000000"/>
        </w:rPr>
      </w:pPr>
    </w:p>
    <w:p w14:paraId="36F02937" w14:textId="77777777" w:rsidR="00793DC4" w:rsidRDefault="00793DC4">
      <w:pPr>
        <w:widowControl w:val="0"/>
        <w:autoSpaceDE w:val="0"/>
        <w:autoSpaceDN w:val="0"/>
        <w:adjustRightInd w:val="0"/>
        <w:jc w:val="both"/>
        <w:rPr>
          <w:color w:val="000000"/>
          <w:sz w:val="16"/>
          <w:szCs w:val="16"/>
        </w:rPr>
      </w:pPr>
      <w:r>
        <w:rPr>
          <w:color w:val="000000"/>
        </w:rPr>
        <w:t>Merck kept the FDA informed of these and other studies suggesting a possible association between bisphosphonates and fractures, either citing or submitting them in communications with the agency. In March 2008, Merck submitted a periodic safety update to the FDA that included over 30 pages of information regarding atypical femur fractures and suppression of bone turnover. Merck reported that “recent publications” had “implicated a link between prolonged bisphosphonate therapy and atypical low-energy non-vertebral fractures.”</w:t>
      </w:r>
      <w:bookmarkStart w:id="66" w:name="co_footnoteReference_B00342041287330_ID0"/>
      <w:bookmarkEnd w:id="66"/>
      <w:r>
        <w:rPr>
          <w:color w:val="000000"/>
          <w:sz w:val="16"/>
          <w:szCs w:val="16"/>
        </w:rPr>
        <w:fldChar w:fldCharType="begin"/>
      </w:r>
      <w:r>
        <w:rPr>
          <w:color w:val="000000"/>
          <w:sz w:val="16"/>
          <w:szCs w:val="16"/>
        </w:rPr>
        <w:instrText xml:space="preserve">HYPERLINK "#co_footnote_B00342041287330_1" </w:instrText>
      </w:r>
      <w:r w:rsidR="00F61700">
        <w:rPr>
          <w:color w:val="000000"/>
          <w:sz w:val="16"/>
          <w:szCs w:val="16"/>
        </w:rPr>
      </w:r>
      <w:r>
        <w:rPr>
          <w:color w:val="000000"/>
          <w:sz w:val="16"/>
          <w:szCs w:val="16"/>
        </w:rPr>
        <w:fldChar w:fldCharType="separate"/>
      </w:r>
      <w:r>
        <w:rPr>
          <w:color w:val="000000"/>
          <w:sz w:val="16"/>
          <w:szCs w:val="16"/>
          <w:vertAlign w:val="superscript"/>
        </w:rPr>
        <w:t>33</w:t>
      </w:r>
      <w:r>
        <w:rPr>
          <w:color w:val="000000"/>
          <w:sz w:val="16"/>
          <w:szCs w:val="16"/>
        </w:rPr>
        <w:fldChar w:fldCharType="end"/>
      </w:r>
      <w:r>
        <w:rPr>
          <w:color w:val="000000"/>
        </w:rPr>
        <w:t xml:space="preserve"> It also stated “the reporters related these findings to severely suppressed bone turnover that may develop during long-term” use of </w:t>
      </w:r>
      <w:hyperlink r:id="rId118" w:history="1">
        <w:r>
          <w:rPr>
            <w:color w:val="000000"/>
          </w:rPr>
          <w:t>Fosamax</w:t>
        </w:r>
      </w:hyperlink>
      <w:r>
        <w:rPr>
          <w:color w:val="000000"/>
        </w:rPr>
        <w:t>.</w:t>
      </w:r>
      <w:bookmarkStart w:id="67" w:name="co_footnoteReference_B00352041287330_ID0"/>
      <w:bookmarkEnd w:id="67"/>
      <w:r>
        <w:rPr>
          <w:color w:val="000000"/>
          <w:sz w:val="16"/>
          <w:szCs w:val="16"/>
        </w:rPr>
        <w:fldChar w:fldCharType="begin"/>
      </w:r>
      <w:r>
        <w:rPr>
          <w:color w:val="000000"/>
          <w:sz w:val="16"/>
          <w:szCs w:val="16"/>
        </w:rPr>
        <w:instrText xml:space="preserve">HYPERLINK "#co_footnote_B00352041287330_1" </w:instrText>
      </w:r>
      <w:r w:rsidR="00F61700">
        <w:rPr>
          <w:color w:val="000000"/>
          <w:sz w:val="16"/>
          <w:szCs w:val="16"/>
        </w:rPr>
      </w:r>
      <w:r>
        <w:rPr>
          <w:color w:val="000000"/>
          <w:sz w:val="16"/>
          <w:szCs w:val="16"/>
        </w:rPr>
        <w:fldChar w:fldCharType="separate"/>
      </w:r>
      <w:r>
        <w:rPr>
          <w:color w:val="000000"/>
          <w:sz w:val="16"/>
          <w:szCs w:val="16"/>
          <w:vertAlign w:val="superscript"/>
        </w:rPr>
        <w:t>34</w:t>
      </w:r>
      <w:r>
        <w:rPr>
          <w:color w:val="000000"/>
          <w:sz w:val="16"/>
          <w:szCs w:val="16"/>
        </w:rPr>
        <w:fldChar w:fldCharType="end"/>
      </w:r>
      <w:r>
        <w:rPr>
          <w:color w:val="000000"/>
        </w:rPr>
        <w:t xml:space="preserve"> Later that month, Merck forwarded to the FDA a letter published in the </w:t>
      </w:r>
      <w:r>
        <w:rPr>
          <w:i/>
          <w:iCs/>
          <w:color w:val="000000"/>
        </w:rPr>
        <w:t>New England Journal of Medicine</w:t>
      </w:r>
      <w:r>
        <w:rPr>
          <w:color w:val="000000"/>
        </w:rPr>
        <w:t xml:space="preserve"> describing a “potential link between [bisphosphonate] use and low-energy fractures of the femur.”</w:t>
      </w:r>
      <w:bookmarkStart w:id="68" w:name="co_footnoteReference_B00362041287330_ID0"/>
      <w:bookmarkEnd w:id="68"/>
      <w:r>
        <w:rPr>
          <w:color w:val="000000"/>
          <w:sz w:val="16"/>
          <w:szCs w:val="16"/>
        </w:rPr>
        <w:fldChar w:fldCharType="begin"/>
      </w:r>
      <w:r>
        <w:rPr>
          <w:color w:val="000000"/>
          <w:sz w:val="16"/>
          <w:szCs w:val="16"/>
        </w:rPr>
        <w:instrText xml:space="preserve">HYPERLINK "#co_footnote_B00362041287330_1" </w:instrText>
      </w:r>
      <w:r w:rsidR="00F61700">
        <w:rPr>
          <w:color w:val="000000"/>
          <w:sz w:val="16"/>
          <w:szCs w:val="16"/>
        </w:rPr>
      </w:r>
      <w:r>
        <w:rPr>
          <w:color w:val="000000"/>
          <w:sz w:val="16"/>
          <w:szCs w:val="16"/>
        </w:rPr>
        <w:fldChar w:fldCharType="separate"/>
      </w:r>
      <w:r>
        <w:rPr>
          <w:color w:val="000000"/>
          <w:sz w:val="16"/>
          <w:szCs w:val="16"/>
          <w:vertAlign w:val="superscript"/>
        </w:rPr>
        <w:t>35</w:t>
      </w:r>
      <w:r>
        <w:rPr>
          <w:color w:val="000000"/>
          <w:sz w:val="16"/>
          <w:szCs w:val="16"/>
        </w:rPr>
        <w:fldChar w:fldCharType="end"/>
      </w:r>
    </w:p>
    <w:p w14:paraId="3669F6FA"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2CBE9889" w14:textId="77777777">
        <w:tblPrEx>
          <w:tblCellMar>
            <w:top w:w="0" w:type="dxa"/>
            <w:left w:w="0" w:type="dxa"/>
            <w:bottom w:w="0" w:type="dxa"/>
            <w:right w:w="0" w:type="dxa"/>
          </w:tblCellMar>
        </w:tblPrEx>
        <w:tc>
          <w:tcPr>
            <w:tcW w:w="600" w:type="dxa"/>
            <w:tcBorders>
              <w:top w:val="nil"/>
              <w:left w:val="nil"/>
              <w:bottom w:val="nil"/>
              <w:right w:val="nil"/>
            </w:tcBorders>
          </w:tcPr>
          <w:bookmarkStart w:id="69" w:name="co_footnote_B00342041287330_1"/>
          <w:bookmarkEnd w:id="69"/>
          <w:p w14:paraId="1A34A00D"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"#co_footnoteReference_B00342041287330_ID0" </w:instrText>
            </w:r>
            <w:r w:rsidR="00F61700">
              <w:rPr>
                <w:color w:val="000000"/>
              </w:rPr>
            </w:r>
            <w:r>
              <w:rPr>
                <w:color w:val="000000"/>
              </w:rPr>
              <w:fldChar w:fldCharType="separate"/>
            </w:r>
            <w:r>
              <w:rPr>
                <w:color w:val="000000"/>
                <w:vertAlign w:val="superscript"/>
              </w:rPr>
              <w:t>33</w:t>
            </w:r>
            <w:r>
              <w:rPr>
                <w:color w:val="000000"/>
              </w:rPr>
              <w:fldChar w:fldCharType="end"/>
            </w:r>
          </w:p>
          <w:p w14:paraId="6FECD448"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6B98CBE2" w14:textId="77777777" w:rsidR="00793DC4" w:rsidRDefault="00793DC4">
            <w:pPr>
              <w:widowControl w:val="0"/>
              <w:autoSpaceDE w:val="0"/>
              <w:autoSpaceDN w:val="0"/>
              <w:adjustRightInd w:val="0"/>
              <w:jc w:val="both"/>
              <w:rPr>
                <w:color w:val="000000"/>
                <w:sz w:val="18"/>
                <w:szCs w:val="18"/>
              </w:rPr>
            </w:pPr>
            <w:r>
              <w:rPr>
                <w:color w:val="000000"/>
                <w:sz w:val="18"/>
                <w:szCs w:val="18"/>
              </w:rPr>
              <w:t>A 2597.</w:t>
            </w:r>
          </w:p>
          <w:p w14:paraId="5FD29582" w14:textId="77777777" w:rsidR="00793DC4" w:rsidRDefault="00793DC4">
            <w:pPr>
              <w:widowControl w:val="0"/>
              <w:autoSpaceDE w:val="0"/>
              <w:autoSpaceDN w:val="0"/>
              <w:adjustRightInd w:val="0"/>
              <w:jc w:val="both"/>
              <w:rPr>
                <w:color w:val="000000"/>
                <w:sz w:val="18"/>
                <w:szCs w:val="18"/>
              </w:rPr>
            </w:pPr>
          </w:p>
        </w:tc>
      </w:tr>
    </w:tbl>
    <w:p w14:paraId="26EE805C"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5678A6F4" w14:textId="77777777">
        <w:tblPrEx>
          <w:tblCellMar>
            <w:top w:w="0" w:type="dxa"/>
            <w:left w:w="0" w:type="dxa"/>
            <w:bottom w:w="0" w:type="dxa"/>
            <w:right w:w="0" w:type="dxa"/>
          </w:tblCellMar>
        </w:tblPrEx>
        <w:tc>
          <w:tcPr>
            <w:tcW w:w="600" w:type="dxa"/>
            <w:tcBorders>
              <w:top w:val="nil"/>
              <w:left w:val="nil"/>
              <w:bottom w:val="nil"/>
              <w:right w:val="nil"/>
            </w:tcBorders>
          </w:tcPr>
          <w:bookmarkStart w:id="70" w:name="co_footnote_B00352041287330_1"/>
          <w:bookmarkEnd w:id="70"/>
          <w:p w14:paraId="26BF12EE"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"#co_footnoteReference_B00352041287330_ID0" </w:instrText>
            </w:r>
            <w:r w:rsidR="00F61700">
              <w:rPr>
                <w:color w:val="000000"/>
              </w:rPr>
            </w:r>
            <w:r>
              <w:rPr>
                <w:color w:val="000000"/>
              </w:rPr>
              <w:fldChar w:fldCharType="separate"/>
            </w:r>
            <w:r>
              <w:rPr>
                <w:color w:val="000000"/>
                <w:vertAlign w:val="superscript"/>
              </w:rPr>
              <w:t>34</w:t>
            </w:r>
            <w:r>
              <w:rPr>
                <w:color w:val="000000"/>
              </w:rPr>
              <w:fldChar w:fldCharType="end"/>
            </w:r>
          </w:p>
          <w:p w14:paraId="0B45EF35"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14F68751" w14:textId="77777777" w:rsidR="00793DC4" w:rsidRDefault="00793DC4">
            <w:pPr>
              <w:widowControl w:val="0"/>
              <w:autoSpaceDE w:val="0"/>
              <w:autoSpaceDN w:val="0"/>
              <w:adjustRightInd w:val="0"/>
              <w:jc w:val="both"/>
              <w:rPr>
                <w:color w:val="000000"/>
                <w:sz w:val="18"/>
                <w:szCs w:val="18"/>
              </w:rPr>
            </w:pPr>
            <w:hyperlink r:id="rId119" w:history="1">
              <w:r>
                <w:rPr>
                  <w:i/>
                  <w:iCs/>
                  <w:color w:val="000000"/>
                  <w:sz w:val="18"/>
                  <w:szCs w:val="18"/>
                </w:rPr>
                <w:t>Id</w:t>
              </w:r>
              <w:r>
                <w:rPr>
                  <w:color w:val="000000"/>
                  <w:sz w:val="18"/>
                  <w:szCs w:val="18"/>
                </w:rPr>
                <w:t>.</w:t>
              </w:r>
            </w:hyperlink>
          </w:p>
          <w:p w14:paraId="50B1F7B4" w14:textId="77777777" w:rsidR="00793DC4" w:rsidRDefault="00793DC4">
            <w:pPr>
              <w:widowControl w:val="0"/>
              <w:autoSpaceDE w:val="0"/>
              <w:autoSpaceDN w:val="0"/>
              <w:adjustRightInd w:val="0"/>
              <w:jc w:val="both"/>
              <w:rPr>
                <w:color w:val="000000"/>
                <w:sz w:val="18"/>
                <w:szCs w:val="18"/>
              </w:rPr>
            </w:pPr>
          </w:p>
        </w:tc>
      </w:tr>
    </w:tbl>
    <w:p w14:paraId="6DA9D46D"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25E19EED" w14:textId="77777777">
        <w:tblPrEx>
          <w:tblCellMar>
            <w:top w:w="0" w:type="dxa"/>
            <w:left w:w="0" w:type="dxa"/>
            <w:bottom w:w="0" w:type="dxa"/>
            <w:right w:w="0" w:type="dxa"/>
          </w:tblCellMar>
        </w:tblPrEx>
        <w:tc>
          <w:tcPr>
            <w:tcW w:w="600" w:type="dxa"/>
            <w:tcBorders>
              <w:top w:val="nil"/>
              <w:left w:val="nil"/>
              <w:bottom w:val="nil"/>
              <w:right w:val="nil"/>
            </w:tcBorders>
          </w:tcPr>
          <w:bookmarkStart w:id="71" w:name="co_footnote_B00362041287330_1"/>
          <w:bookmarkEnd w:id="71"/>
          <w:p w14:paraId="2747481E"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"#co_footnoteReference_B00362041287330_ID0" </w:instrText>
            </w:r>
            <w:r w:rsidR="00F61700">
              <w:rPr>
                <w:color w:val="000000"/>
              </w:rPr>
            </w:r>
            <w:r>
              <w:rPr>
                <w:color w:val="000000"/>
              </w:rPr>
              <w:fldChar w:fldCharType="separate"/>
            </w:r>
            <w:r>
              <w:rPr>
                <w:color w:val="000000"/>
                <w:vertAlign w:val="superscript"/>
              </w:rPr>
              <w:t>35</w:t>
            </w:r>
            <w:r>
              <w:rPr>
                <w:color w:val="000000"/>
              </w:rPr>
              <w:fldChar w:fldCharType="end"/>
            </w:r>
          </w:p>
          <w:p w14:paraId="74A67DBD"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3232A982" w14:textId="77777777" w:rsidR="00793DC4" w:rsidRDefault="00793DC4">
            <w:pPr>
              <w:widowControl w:val="0"/>
              <w:autoSpaceDE w:val="0"/>
              <w:autoSpaceDN w:val="0"/>
              <w:adjustRightInd w:val="0"/>
              <w:jc w:val="both"/>
              <w:rPr>
                <w:color w:val="000000"/>
                <w:sz w:val="18"/>
                <w:szCs w:val="18"/>
              </w:rPr>
            </w:pPr>
            <w:r>
              <w:rPr>
                <w:color w:val="000000"/>
                <w:sz w:val="18"/>
                <w:szCs w:val="18"/>
              </w:rPr>
              <w:t>A 1928-33.</w:t>
            </w:r>
          </w:p>
          <w:p w14:paraId="5C9D9ECA" w14:textId="77777777" w:rsidR="00793DC4" w:rsidRDefault="00793DC4">
            <w:pPr>
              <w:widowControl w:val="0"/>
              <w:autoSpaceDE w:val="0"/>
              <w:autoSpaceDN w:val="0"/>
              <w:adjustRightInd w:val="0"/>
              <w:jc w:val="both"/>
              <w:rPr>
                <w:color w:val="000000"/>
                <w:sz w:val="18"/>
                <w:szCs w:val="18"/>
              </w:rPr>
            </w:pPr>
          </w:p>
        </w:tc>
      </w:tr>
    </w:tbl>
    <w:p w14:paraId="5B9AA105" w14:textId="77777777" w:rsidR="00793DC4" w:rsidRDefault="00793DC4">
      <w:pPr>
        <w:widowControl w:val="0"/>
        <w:autoSpaceDE w:val="0"/>
        <w:autoSpaceDN w:val="0"/>
        <w:adjustRightInd w:val="0"/>
        <w:jc w:val="both"/>
        <w:rPr>
          <w:color w:val="000000"/>
        </w:rPr>
      </w:pPr>
    </w:p>
    <w:p w14:paraId="56201C20" w14:textId="77777777" w:rsidR="00793DC4" w:rsidRDefault="00793DC4">
      <w:pPr>
        <w:widowControl w:val="0"/>
        <w:autoSpaceDE w:val="0"/>
        <w:autoSpaceDN w:val="0"/>
        <w:adjustRightInd w:val="0"/>
        <w:jc w:val="both"/>
        <w:rPr>
          <w:color w:val="000000"/>
        </w:rPr>
      </w:pPr>
      <w:r>
        <w:rPr>
          <w:color w:val="000000"/>
        </w:rPr>
        <w:t xml:space="preserve">In June 2008, the FDA informed Merck that it was “aware of reports regarding the occurrence of </w:t>
      </w:r>
      <w:proofErr w:type="spellStart"/>
      <w:r>
        <w:rPr>
          <w:color w:val="000000"/>
        </w:rPr>
        <w:t>subtrochanteric</w:t>
      </w:r>
      <w:proofErr w:type="spellEnd"/>
      <w:r>
        <w:rPr>
          <w:color w:val="000000"/>
        </w:rPr>
        <w:t xml:space="preserve"> hip fractures in patients using bisphosphonates.”</w:t>
      </w:r>
      <w:bookmarkStart w:id="72" w:name="co_footnoteReference_B00372041287330_ID0"/>
      <w:bookmarkEnd w:id="72"/>
      <w:r>
        <w:rPr>
          <w:color w:val="000000"/>
          <w:sz w:val="16"/>
          <w:szCs w:val="16"/>
        </w:rPr>
        <w:fldChar w:fldCharType="begin"/>
      </w:r>
      <w:r>
        <w:rPr>
          <w:color w:val="000000"/>
          <w:sz w:val="16"/>
          <w:szCs w:val="16"/>
        </w:rPr>
        <w:instrText xml:space="preserve">HYPERLINK "#co_footnote_B00372041287330_1" </w:instrText>
      </w:r>
      <w:r w:rsidR="00F61700">
        <w:rPr>
          <w:color w:val="000000"/>
          <w:sz w:val="16"/>
          <w:szCs w:val="16"/>
        </w:rPr>
      </w:r>
      <w:r>
        <w:rPr>
          <w:color w:val="000000"/>
          <w:sz w:val="16"/>
          <w:szCs w:val="16"/>
        </w:rPr>
        <w:fldChar w:fldCharType="separate"/>
      </w:r>
      <w:r>
        <w:rPr>
          <w:color w:val="000000"/>
          <w:sz w:val="16"/>
          <w:szCs w:val="16"/>
          <w:vertAlign w:val="superscript"/>
        </w:rPr>
        <w:t>36</w:t>
      </w:r>
      <w:r>
        <w:rPr>
          <w:color w:val="000000"/>
          <w:sz w:val="16"/>
          <w:szCs w:val="16"/>
        </w:rPr>
        <w:fldChar w:fldCharType="end"/>
      </w:r>
      <w:r>
        <w:rPr>
          <w:color w:val="000000"/>
        </w:rPr>
        <w:t xml:space="preserve"> It also stated that it was “concerned about this developing safety signal.”</w:t>
      </w:r>
      <w:bookmarkStart w:id="73" w:name="co_footnoteReference_B00382041287330_ID0"/>
      <w:bookmarkEnd w:id="73"/>
      <w:r>
        <w:rPr>
          <w:color w:val="000000"/>
          <w:sz w:val="16"/>
          <w:szCs w:val="16"/>
        </w:rPr>
        <w:fldChar w:fldCharType="begin"/>
      </w:r>
      <w:r>
        <w:rPr>
          <w:color w:val="000000"/>
          <w:sz w:val="16"/>
          <w:szCs w:val="16"/>
        </w:rPr>
        <w:instrText xml:space="preserve">HYPERLINK "#co_footnote_B00382041287330_1" </w:instrText>
      </w:r>
      <w:r w:rsidR="00F61700">
        <w:rPr>
          <w:color w:val="000000"/>
          <w:sz w:val="16"/>
          <w:szCs w:val="16"/>
        </w:rPr>
      </w:r>
      <w:r>
        <w:rPr>
          <w:color w:val="000000"/>
          <w:sz w:val="16"/>
          <w:szCs w:val="16"/>
        </w:rPr>
        <w:fldChar w:fldCharType="separate"/>
      </w:r>
      <w:r>
        <w:rPr>
          <w:color w:val="000000"/>
          <w:sz w:val="16"/>
          <w:szCs w:val="16"/>
          <w:vertAlign w:val="superscript"/>
        </w:rPr>
        <w:t>37</w:t>
      </w:r>
      <w:r>
        <w:rPr>
          <w:color w:val="000000"/>
          <w:sz w:val="16"/>
          <w:szCs w:val="16"/>
        </w:rPr>
        <w:fldChar w:fldCharType="end"/>
      </w:r>
      <w:r>
        <w:rPr>
          <w:color w:val="000000"/>
        </w:rPr>
        <w:t xml:space="preserve"> The FDA asked Merck to submit any investigations it had conducted or reports it had received regarding </w:t>
      </w:r>
      <w:hyperlink r:id="rId120" w:history="1">
        <w:r>
          <w:rPr>
            <w:color w:val="000000"/>
          </w:rPr>
          <w:t>femoral fractures</w:t>
        </w:r>
      </w:hyperlink>
      <w:r>
        <w:rPr>
          <w:color w:val="000000"/>
        </w:rPr>
        <w:t>. Merck promptly complied.</w:t>
      </w:r>
    </w:p>
    <w:p w14:paraId="28E3D344"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659089ED" w14:textId="77777777">
        <w:tblPrEx>
          <w:tblCellMar>
            <w:top w:w="0" w:type="dxa"/>
            <w:left w:w="0" w:type="dxa"/>
            <w:bottom w:w="0" w:type="dxa"/>
            <w:right w:w="0" w:type="dxa"/>
          </w:tblCellMar>
        </w:tblPrEx>
        <w:tc>
          <w:tcPr>
            <w:tcW w:w="600" w:type="dxa"/>
            <w:tcBorders>
              <w:top w:val="nil"/>
              <w:left w:val="nil"/>
              <w:bottom w:val="nil"/>
              <w:right w:val="nil"/>
            </w:tcBorders>
          </w:tcPr>
          <w:bookmarkStart w:id="74" w:name="co_footnote_B00372041287330_1"/>
          <w:bookmarkEnd w:id="74"/>
          <w:p w14:paraId="472C90CC"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"#co_footnoteReference_B00372041287330_ID0" </w:instrText>
            </w:r>
            <w:r w:rsidR="00F61700">
              <w:rPr>
                <w:color w:val="000000"/>
              </w:rPr>
            </w:r>
            <w:r>
              <w:rPr>
                <w:color w:val="000000"/>
              </w:rPr>
              <w:fldChar w:fldCharType="separate"/>
            </w:r>
            <w:r>
              <w:rPr>
                <w:color w:val="000000"/>
                <w:vertAlign w:val="superscript"/>
              </w:rPr>
              <w:t>36</w:t>
            </w:r>
            <w:r>
              <w:rPr>
                <w:color w:val="000000"/>
              </w:rPr>
              <w:fldChar w:fldCharType="end"/>
            </w:r>
          </w:p>
          <w:p w14:paraId="13BBCBB0"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2681CFCB" w14:textId="77777777" w:rsidR="00793DC4" w:rsidRDefault="00793DC4">
            <w:pPr>
              <w:widowControl w:val="0"/>
              <w:autoSpaceDE w:val="0"/>
              <w:autoSpaceDN w:val="0"/>
              <w:adjustRightInd w:val="0"/>
              <w:jc w:val="both"/>
              <w:rPr>
                <w:color w:val="000000"/>
                <w:sz w:val="18"/>
                <w:szCs w:val="18"/>
              </w:rPr>
            </w:pPr>
            <w:r>
              <w:rPr>
                <w:color w:val="000000"/>
                <w:sz w:val="18"/>
                <w:szCs w:val="18"/>
              </w:rPr>
              <w:t>A 1935.</w:t>
            </w:r>
          </w:p>
          <w:p w14:paraId="5D0D62B4" w14:textId="77777777" w:rsidR="00793DC4" w:rsidRDefault="00793DC4">
            <w:pPr>
              <w:widowControl w:val="0"/>
              <w:autoSpaceDE w:val="0"/>
              <w:autoSpaceDN w:val="0"/>
              <w:adjustRightInd w:val="0"/>
              <w:jc w:val="both"/>
              <w:rPr>
                <w:color w:val="000000"/>
                <w:sz w:val="18"/>
                <w:szCs w:val="18"/>
              </w:rPr>
            </w:pPr>
          </w:p>
        </w:tc>
      </w:tr>
    </w:tbl>
    <w:p w14:paraId="75083092"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57601E2A" w14:textId="77777777">
        <w:tblPrEx>
          <w:tblCellMar>
            <w:top w:w="0" w:type="dxa"/>
            <w:left w:w="0" w:type="dxa"/>
            <w:bottom w:w="0" w:type="dxa"/>
            <w:right w:w="0" w:type="dxa"/>
          </w:tblCellMar>
        </w:tblPrEx>
        <w:tc>
          <w:tcPr>
            <w:tcW w:w="600" w:type="dxa"/>
            <w:tcBorders>
              <w:top w:val="nil"/>
              <w:left w:val="nil"/>
              <w:bottom w:val="nil"/>
              <w:right w:val="nil"/>
            </w:tcBorders>
          </w:tcPr>
          <w:bookmarkStart w:id="75" w:name="co_footnote_B00382041287330_1"/>
          <w:bookmarkEnd w:id="75"/>
          <w:p w14:paraId="563C4B52"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"#co_footnoteReference_B00382041287330_ID0" </w:instrText>
            </w:r>
            <w:r w:rsidR="00F61700">
              <w:rPr>
                <w:color w:val="000000"/>
              </w:rPr>
            </w:r>
            <w:r>
              <w:rPr>
                <w:color w:val="000000"/>
              </w:rPr>
              <w:fldChar w:fldCharType="separate"/>
            </w:r>
            <w:r>
              <w:rPr>
                <w:color w:val="000000"/>
                <w:vertAlign w:val="superscript"/>
              </w:rPr>
              <w:t>37</w:t>
            </w:r>
            <w:r>
              <w:rPr>
                <w:color w:val="000000"/>
              </w:rPr>
              <w:fldChar w:fldCharType="end"/>
            </w:r>
          </w:p>
          <w:p w14:paraId="62227369"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5EB26F31" w14:textId="77777777" w:rsidR="00793DC4" w:rsidRDefault="00793DC4">
            <w:pPr>
              <w:widowControl w:val="0"/>
              <w:autoSpaceDE w:val="0"/>
              <w:autoSpaceDN w:val="0"/>
              <w:adjustRightInd w:val="0"/>
              <w:jc w:val="both"/>
              <w:rPr>
                <w:color w:val="000000"/>
                <w:sz w:val="18"/>
                <w:szCs w:val="18"/>
              </w:rPr>
            </w:pPr>
            <w:hyperlink r:id="rId121" w:history="1">
              <w:r>
                <w:rPr>
                  <w:i/>
                  <w:iCs/>
                  <w:color w:val="000000"/>
                  <w:sz w:val="18"/>
                  <w:szCs w:val="18"/>
                </w:rPr>
                <w:t>Id</w:t>
              </w:r>
              <w:r>
                <w:rPr>
                  <w:color w:val="000000"/>
                  <w:sz w:val="18"/>
                  <w:szCs w:val="18"/>
                </w:rPr>
                <w:t>.</w:t>
              </w:r>
            </w:hyperlink>
          </w:p>
          <w:p w14:paraId="7E6081CA" w14:textId="77777777" w:rsidR="00793DC4" w:rsidRDefault="00793DC4">
            <w:pPr>
              <w:widowControl w:val="0"/>
              <w:autoSpaceDE w:val="0"/>
              <w:autoSpaceDN w:val="0"/>
              <w:adjustRightInd w:val="0"/>
              <w:jc w:val="both"/>
              <w:rPr>
                <w:color w:val="000000"/>
                <w:sz w:val="18"/>
                <w:szCs w:val="18"/>
              </w:rPr>
            </w:pPr>
          </w:p>
        </w:tc>
      </w:tr>
    </w:tbl>
    <w:p w14:paraId="1D720DCC" w14:textId="77777777" w:rsidR="00793DC4" w:rsidRDefault="00793DC4">
      <w:pPr>
        <w:widowControl w:val="0"/>
        <w:autoSpaceDE w:val="0"/>
        <w:autoSpaceDN w:val="0"/>
        <w:adjustRightInd w:val="0"/>
        <w:jc w:val="both"/>
        <w:rPr>
          <w:color w:val="000000"/>
        </w:rPr>
      </w:pPr>
    </w:p>
    <w:p w14:paraId="3B880B19" w14:textId="77777777" w:rsidR="00793DC4" w:rsidRDefault="00793DC4">
      <w:pPr>
        <w:widowControl w:val="0"/>
        <w:autoSpaceDE w:val="0"/>
        <w:autoSpaceDN w:val="0"/>
        <w:adjustRightInd w:val="0"/>
        <w:spacing w:before="400" w:after="200"/>
        <w:jc w:val="center"/>
        <w:rPr>
          <w:color w:val="000000"/>
        </w:rPr>
      </w:pPr>
      <w:r>
        <w:rPr>
          <w:b/>
          <w:bCs/>
          <w:color w:val="000000"/>
        </w:rPr>
        <w:t>*276</w:t>
      </w:r>
      <w:r>
        <w:rPr>
          <w:color w:val="000000"/>
        </w:rPr>
        <w:t xml:space="preserve"> ii. </w:t>
      </w:r>
      <w:r>
        <w:rPr>
          <w:color w:val="000000"/>
          <w:u w:val="single"/>
        </w:rPr>
        <w:t xml:space="preserve">Merck Attempts to Amend the </w:t>
      </w:r>
      <w:hyperlink r:id="rId122" w:history="1">
        <w:r>
          <w:rPr>
            <w:color w:val="000000"/>
            <w:u w:val="single"/>
          </w:rPr>
          <w:t>Fosamax Label</w:t>
        </w:r>
      </w:hyperlink>
    </w:p>
    <w:p w14:paraId="6D1E9C90" w14:textId="77777777" w:rsidR="00793DC4" w:rsidRDefault="00793DC4">
      <w:pPr>
        <w:widowControl w:val="0"/>
        <w:autoSpaceDE w:val="0"/>
        <w:autoSpaceDN w:val="0"/>
        <w:adjustRightInd w:val="0"/>
        <w:jc w:val="both"/>
        <w:rPr>
          <w:color w:val="000000"/>
          <w:sz w:val="16"/>
          <w:szCs w:val="16"/>
        </w:rPr>
      </w:pPr>
      <w:r>
        <w:rPr>
          <w:color w:val="000000"/>
        </w:rPr>
        <w:t>In September 2008, while the FDA was analyzing Merck’s data, Merck submitted a PAS to the FDA. As discussed above, a PAS is a label-change request that, unlike a CBE submission, requires prior approval from the FDA.</w:t>
      </w:r>
      <w:bookmarkStart w:id="76" w:name="co_footnoteReference_B00392041287330_ID0"/>
      <w:bookmarkEnd w:id="76"/>
      <w:r>
        <w:rPr>
          <w:color w:val="000000"/>
          <w:sz w:val="16"/>
          <w:szCs w:val="16"/>
        </w:rPr>
        <w:fldChar w:fldCharType="begin"/>
      </w:r>
      <w:r>
        <w:rPr>
          <w:color w:val="000000"/>
          <w:sz w:val="16"/>
          <w:szCs w:val="16"/>
        </w:rPr>
        <w:instrText xml:space="preserve">HYPERLINK "#co_footnote_B00392041287330_1" </w:instrText>
      </w:r>
      <w:r w:rsidR="00F61700">
        <w:rPr>
          <w:color w:val="000000"/>
          <w:sz w:val="16"/>
          <w:szCs w:val="16"/>
        </w:rPr>
      </w:r>
      <w:r>
        <w:rPr>
          <w:color w:val="000000"/>
          <w:sz w:val="16"/>
          <w:szCs w:val="16"/>
        </w:rPr>
        <w:fldChar w:fldCharType="separate"/>
      </w:r>
      <w:r>
        <w:rPr>
          <w:color w:val="000000"/>
          <w:sz w:val="16"/>
          <w:szCs w:val="16"/>
          <w:vertAlign w:val="superscript"/>
        </w:rPr>
        <w:t>38</w:t>
      </w:r>
      <w:r>
        <w:rPr>
          <w:color w:val="000000"/>
          <w:sz w:val="16"/>
          <w:szCs w:val="16"/>
        </w:rPr>
        <w:fldChar w:fldCharType="end"/>
      </w:r>
      <w:r>
        <w:rPr>
          <w:color w:val="000000"/>
        </w:rPr>
        <w:t xml:space="preserve"> In the PAS, Merck proposed to add language to both the Warnings &amp; Precautions and the Adverse Reactions sections of the label to address atypical </w:t>
      </w:r>
      <w:hyperlink r:id="rId123" w:history="1">
        <w:r>
          <w:rPr>
            <w:color w:val="000000"/>
          </w:rPr>
          <w:t>femoral fractures</w:t>
        </w:r>
      </w:hyperlink>
      <w:r>
        <w:rPr>
          <w:color w:val="000000"/>
        </w:rPr>
        <w:t>. Merck explained that “[</w:t>
      </w:r>
      <w:proofErr w:type="spellStart"/>
      <w:proofErr w:type="gramStart"/>
      <w:r>
        <w:rPr>
          <w:color w:val="000000"/>
        </w:rPr>
        <w:t>i</w:t>
      </w:r>
      <w:proofErr w:type="spellEnd"/>
      <w:r>
        <w:rPr>
          <w:color w:val="000000"/>
        </w:rPr>
        <w:t>]t</w:t>
      </w:r>
      <w:proofErr w:type="gramEnd"/>
      <w:r>
        <w:rPr>
          <w:color w:val="000000"/>
        </w:rPr>
        <w:t xml:space="preserve"> is not possible with the present data to establish whether treatment with” </w:t>
      </w:r>
      <w:hyperlink r:id="rId124" w:history="1">
        <w:r>
          <w:rPr>
            <w:color w:val="000000"/>
          </w:rPr>
          <w:t>Fosamax</w:t>
        </w:r>
      </w:hyperlink>
      <w:r>
        <w:rPr>
          <w:color w:val="000000"/>
        </w:rPr>
        <w:t xml:space="preserve"> “increases the risk of [these] ... low-energy </w:t>
      </w:r>
      <w:proofErr w:type="spellStart"/>
      <w:r>
        <w:rPr>
          <w:color w:val="000000"/>
        </w:rPr>
        <w:t>subtrochanteric</w:t>
      </w:r>
      <w:proofErr w:type="spellEnd"/>
      <w:r>
        <w:rPr>
          <w:color w:val="000000"/>
        </w:rPr>
        <w:t xml:space="preserve"> and/or proximal shaft fractures.”</w:t>
      </w:r>
      <w:bookmarkStart w:id="77" w:name="co_footnoteReference_B00402041287330_ID0"/>
      <w:bookmarkEnd w:id="77"/>
      <w:r>
        <w:rPr>
          <w:color w:val="000000"/>
          <w:sz w:val="16"/>
          <w:szCs w:val="16"/>
        </w:rPr>
        <w:fldChar w:fldCharType="begin"/>
      </w:r>
      <w:r>
        <w:rPr>
          <w:color w:val="000000"/>
          <w:sz w:val="16"/>
          <w:szCs w:val="16"/>
        </w:rPr>
        <w:instrText xml:space="preserve">HYPERLINK "#co_footnote_B00402041287330_1" </w:instrText>
      </w:r>
      <w:r w:rsidR="00F61700">
        <w:rPr>
          <w:color w:val="000000"/>
          <w:sz w:val="16"/>
          <w:szCs w:val="16"/>
        </w:rPr>
      </w:r>
      <w:r>
        <w:rPr>
          <w:color w:val="000000"/>
          <w:sz w:val="16"/>
          <w:szCs w:val="16"/>
        </w:rPr>
        <w:fldChar w:fldCharType="separate"/>
      </w:r>
      <w:r>
        <w:rPr>
          <w:color w:val="000000"/>
          <w:sz w:val="16"/>
          <w:szCs w:val="16"/>
          <w:vertAlign w:val="superscript"/>
        </w:rPr>
        <w:t>39</w:t>
      </w:r>
      <w:r>
        <w:rPr>
          <w:color w:val="000000"/>
          <w:sz w:val="16"/>
          <w:szCs w:val="16"/>
        </w:rPr>
        <w:fldChar w:fldCharType="end"/>
      </w:r>
      <w:r>
        <w:rPr>
          <w:color w:val="000000"/>
        </w:rPr>
        <w:t xml:space="preserve"> But because of the temporal association between these fractures and </w:t>
      </w:r>
      <w:hyperlink r:id="rId125" w:history="1">
        <w:r>
          <w:rPr>
            <w:color w:val="000000"/>
          </w:rPr>
          <w:t>Fosamax</w:t>
        </w:r>
      </w:hyperlink>
      <w:r>
        <w:rPr>
          <w:color w:val="000000"/>
        </w:rPr>
        <w:t xml:space="preserve"> use, Merck believed that it was “important to include an appropriate statement about them in the product label” to “increase physicians’ awareness of possible fractures in some osteoporotic patients at risk and allow early intervention, thereby possibly preventing the progression to complete fracture and/or other complications.”</w:t>
      </w:r>
      <w:bookmarkStart w:id="78" w:name="co_footnoteReference_B00412041287330_ID0"/>
      <w:bookmarkEnd w:id="78"/>
      <w:r>
        <w:rPr>
          <w:color w:val="000000"/>
          <w:sz w:val="16"/>
          <w:szCs w:val="16"/>
        </w:rPr>
        <w:fldChar w:fldCharType="begin"/>
      </w:r>
      <w:r>
        <w:rPr>
          <w:color w:val="000000"/>
          <w:sz w:val="16"/>
          <w:szCs w:val="16"/>
        </w:rPr>
        <w:instrText xml:space="preserve">HYPERLINK "#co_footnote_B00412041287330_1" </w:instrText>
      </w:r>
      <w:r w:rsidR="00F61700">
        <w:rPr>
          <w:color w:val="000000"/>
          <w:sz w:val="16"/>
          <w:szCs w:val="16"/>
        </w:rPr>
      </w:r>
      <w:r>
        <w:rPr>
          <w:color w:val="000000"/>
          <w:sz w:val="16"/>
          <w:szCs w:val="16"/>
        </w:rPr>
        <w:fldChar w:fldCharType="separate"/>
      </w:r>
      <w:r>
        <w:rPr>
          <w:color w:val="000000"/>
          <w:sz w:val="16"/>
          <w:szCs w:val="16"/>
          <w:vertAlign w:val="superscript"/>
        </w:rPr>
        <w:t>40</w:t>
      </w:r>
      <w:r>
        <w:rPr>
          <w:color w:val="000000"/>
          <w:sz w:val="16"/>
          <w:szCs w:val="16"/>
        </w:rPr>
        <w:fldChar w:fldCharType="end"/>
      </w:r>
    </w:p>
    <w:p w14:paraId="4A694263"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7BE507BC" w14:textId="77777777">
        <w:tblPrEx>
          <w:tblCellMar>
            <w:top w:w="0" w:type="dxa"/>
            <w:left w:w="0" w:type="dxa"/>
            <w:bottom w:w="0" w:type="dxa"/>
            <w:right w:w="0" w:type="dxa"/>
          </w:tblCellMar>
        </w:tblPrEx>
        <w:tc>
          <w:tcPr>
            <w:tcW w:w="600" w:type="dxa"/>
            <w:tcBorders>
              <w:top w:val="nil"/>
              <w:left w:val="nil"/>
              <w:bottom w:val="nil"/>
              <w:right w:val="nil"/>
            </w:tcBorders>
          </w:tcPr>
          <w:bookmarkStart w:id="79" w:name="co_footnote_B00392041287330_1"/>
          <w:bookmarkEnd w:id="79"/>
          <w:p w14:paraId="4324B664"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"#co_footnoteReference_B00392041287330_ID0" </w:instrText>
            </w:r>
            <w:r w:rsidR="00F61700">
              <w:rPr>
                <w:color w:val="000000"/>
              </w:rPr>
            </w:r>
            <w:r>
              <w:rPr>
                <w:color w:val="000000"/>
              </w:rPr>
              <w:fldChar w:fldCharType="separate"/>
            </w:r>
            <w:r>
              <w:rPr>
                <w:color w:val="000000"/>
                <w:vertAlign w:val="superscript"/>
              </w:rPr>
              <w:t>38</w:t>
            </w:r>
            <w:r>
              <w:rPr>
                <w:color w:val="000000"/>
              </w:rPr>
              <w:fldChar w:fldCharType="end"/>
            </w:r>
          </w:p>
          <w:p w14:paraId="7275FFC7"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33E27340" w14:textId="77777777" w:rsidR="00793DC4" w:rsidRDefault="00793DC4">
            <w:pPr>
              <w:widowControl w:val="0"/>
              <w:autoSpaceDE w:val="0"/>
              <w:autoSpaceDN w:val="0"/>
              <w:adjustRightInd w:val="0"/>
              <w:jc w:val="both"/>
              <w:rPr>
                <w:color w:val="000000"/>
                <w:sz w:val="18"/>
                <w:szCs w:val="18"/>
              </w:rPr>
            </w:pPr>
            <w:r>
              <w:rPr>
                <w:i/>
                <w:iCs/>
                <w:color w:val="000000"/>
                <w:sz w:val="18"/>
                <w:szCs w:val="18"/>
              </w:rPr>
              <w:t>See supra</w:t>
            </w:r>
            <w:r>
              <w:rPr>
                <w:color w:val="000000"/>
                <w:sz w:val="18"/>
                <w:szCs w:val="18"/>
              </w:rPr>
              <w:t xml:space="preserve"> Section I.B.</w:t>
            </w:r>
          </w:p>
          <w:p w14:paraId="116C1EC4" w14:textId="77777777" w:rsidR="00793DC4" w:rsidRDefault="00793DC4">
            <w:pPr>
              <w:widowControl w:val="0"/>
              <w:autoSpaceDE w:val="0"/>
              <w:autoSpaceDN w:val="0"/>
              <w:adjustRightInd w:val="0"/>
              <w:jc w:val="both"/>
              <w:rPr>
                <w:color w:val="000000"/>
                <w:sz w:val="18"/>
                <w:szCs w:val="18"/>
              </w:rPr>
            </w:pPr>
          </w:p>
        </w:tc>
      </w:tr>
    </w:tbl>
    <w:p w14:paraId="1C66C2E4"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538E67A7" w14:textId="77777777">
        <w:tblPrEx>
          <w:tblCellMar>
            <w:top w:w="0" w:type="dxa"/>
            <w:left w:w="0" w:type="dxa"/>
            <w:bottom w:w="0" w:type="dxa"/>
            <w:right w:w="0" w:type="dxa"/>
          </w:tblCellMar>
        </w:tblPrEx>
        <w:tc>
          <w:tcPr>
            <w:tcW w:w="600" w:type="dxa"/>
            <w:tcBorders>
              <w:top w:val="nil"/>
              <w:left w:val="nil"/>
              <w:bottom w:val="nil"/>
              <w:right w:val="nil"/>
            </w:tcBorders>
          </w:tcPr>
          <w:bookmarkStart w:id="80" w:name="co_footnote_B00402041287330_1"/>
          <w:bookmarkEnd w:id="80"/>
          <w:p w14:paraId="2D4F6797"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"#co_footnoteReference_B00402041287330_ID0" </w:instrText>
            </w:r>
            <w:r w:rsidR="00F61700">
              <w:rPr>
                <w:color w:val="000000"/>
              </w:rPr>
            </w:r>
            <w:r>
              <w:rPr>
                <w:color w:val="000000"/>
              </w:rPr>
              <w:fldChar w:fldCharType="separate"/>
            </w:r>
            <w:r>
              <w:rPr>
                <w:color w:val="000000"/>
                <w:vertAlign w:val="superscript"/>
              </w:rPr>
              <w:t>39</w:t>
            </w:r>
            <w:r>
              <w:rPr>
                <w:color w:val="000000"/>
              </w:rPr>
              <w:fldChar w:fldCharType="end"/>
            </w:r>
          </w:p>
          <w:p w14:paraId="5A45DFA0"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45A0D9D0" w14:textId="77777777" w:rsidR="00793DC4" w:rsidRDefault="00793DC4">
            <w:pPr>
              <w:widowControl w:val="0"/>
              <w:autoSpaceDE w:val="0"/>
              <w:autoSpaceDN w:val="0"/>
              <w:adjustRightInd w:val="0"/>
              <w:jc w:val="both"/>
              <w:rPr>
                <w:color w:val="000000"/>
                <w:sz w:val="18"/>
                <w:szCs w:val="18"/>
              </w:rPr>
            </w:pPr>
            <w:r>
              <w:rPr>
                <w:color w:val="000000"/>
                <w:sz w:val="18"/>
                <w:szCs w:val="18"/>
              </w:rPr>
              <w:t>A 1349.</w:t>
            </w:r>
          </w:p>
          <w:p w14:paraId="46D0CE7D" w14:textId="77777777" w:rsidR="00793DC4" w:rsidRDefault="00793DC4">
            <w:pPr>
              <w:widowControl w:val="0"/>
              <w:autoSpaceDE w:val="0"/>
              <w:autoSpaceDN w:val="0"/>
              <w:adjustRightInd w:val="0"/>
              <w:jc w:val="both"/>
              <w:rPr>
                <w:color w:val="000000"/>
                <w:sz w:val="18"/>
                <w:szCs w:val="18"/>
              </w:rPr>
            </w:pPr>
          </w:p>
        </w:tc>
      </w:tr>
    </w:tbl>
    <w:p w14:paraId="192B4E22"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303B9129" w14:textId="77777777">
        <w:tblPrEx>
          <w:tblCellMar>
            <w:top w:w="0" w:type="dxa"/>
            <w:left w:w="0" w:type="dxa"/>
            <w:bottom w:w="0" w:type="dxa"/>
            <w:right w:w="0" w:type="dxa"/>
          </w:tblCellMar>
        </w:tblPrEx>
        <w:tc>
          <w:tcPr>
            <w:tcW w:w="600" w:type="dxa"/>
            <w:tcBorders>
              <w:top w:val="nil"/>
              <w:left w:val="nil"/>
              <w:bottom w:val="nil"/>
              <w:right w:val="nil"/>
            </w:tcBorders>
          </w:tcPr>
          <w:bookmarkStart w:id="81" w:name="co_footnote_B00412041287330_1"/>
          <w:bookmarkEnd w:id="81"/>
          <w:p w14:paraId="2D612760"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"#co_footnoteReference_B00412041287330_ID0" </w:instrText>
            </w:r>
            <w:r w:rsidR="00F61700">
              <w:rPr>
                <w:color w:val="000000"/>
              </w:rPr>
            </w:r>
            <w:r>
              <w:rPr>
                <w:color w:val="000000"/>
              </w:rPr>
              <w:fldChar w:fldCharType="separate"/>
            </w:r>
            <w:r>
              <w:rPr>
                <w:color w:val="000000"/>
                <w:vertAlign w:val="superscript"/>
              </w:rPr>
              <w:t>40</w:t>
            </w:r>
            <w:r>
              <w:rPr>
                <w:color w:val="000000"/>
              </w:rPr>
              <w:fldChar w:fldCharType="end"/>
            </w:r>
          </w:p>
          <w:p w14:paraId="03304A1F"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6E983C3C" w14:textId="77777777" w:rsidR="00793DC4" w:rsidRDefault="00793DC4">
            <w:pPr>
              <w:widowControl w:val="0"/>
              <w:autoSpaceDE w:val="0"/>
              <w:autoSpaceDN w:val="0"/>
              <w:adjustRightInd w:val="0"/>
              <w:jc w:val="both"/>
              <w:rPr>
                <w:color w:val="000000"/>
                <w:sz w:val="18"/>
                <w:szCs w:val="18"/>
              </w:rPr>
            </w:pPr>
            <w:hyperlink r:id="rId126" w:history="1">
              <w:r>
                <w:rPr>
                  <w:i/>
                  <w:iCs/>
                  <w:color w:val="000000"/>
                  <w:sz w:val="18"/>
                  <w:szCs w:val="18"/>
                </w:rPr>
                <w:t>Id</w:t>
              </w:r>
              <w:r>
                <w:rPr>
                  <w:color w:val="000000"/>
                  <w:sz w:val="18"/>
                  <w:szCs w:val="18"/>
                </w:rPr>
                <w:t>.</w:t>
              </w:r>
            </w:hyperlink>
          </w:p>
          <w:p w14:paraId="614BB3BF" w14:textId="77777777" w:rsidR="00793DC4" w:rsidRDefault="00793DC4">
            <w:pPr>
              <w:widowControl w:val="0"/>
              <w:autoSpaceDE w:val="0"/>
              <w:autoSpaceDN w:val="0"/>
              <w:adjustRightInd w:val="0"/>
              <w:jc w:val="both"/>
              <w:rPr>
                <w:color w:val="000000"/>
                <w:sz w:val="18"/>
                <w:szCs w:val="18"/>
              </w:rPr>
            </w:pPr>
          </w:p>
        </w:tc>
      </w:tr>
    </w:tbl>
    <w:p w14:paraId="783CA583" w14:textId="77777777" w:rsidR="00793DC4" w:rsidRDefault="00793DC4">
      <w:pPr>
        <w:widowControl w:val="0"/>
        <w:autoSpaceDE w:val="0"/>
        <w:autoSpaceDN w:val="0"/>
        <w:adjustRightInd w:val="0"/>
        <w:jc w:val="both"/>
        <w:rPr>
          <w:color w:val="000000"/>
        </w:rPr>
      </w:pPr>
    </w:p>
    <w:p w14:paraId="49A687B4" w14:textId="77777777" w:rsidR="00793DC4" w:rsidRDefault="00793DC4">
      <w:pPr>
        <w:widowControl w:val="0"/>
        <w:autoSpaceDE w:val="0"/>
        <w:autoSpaceDN w:val="0"/>
        <w:adjustRightInd w:val="0"/>
        <w:jc w:val="both"/>
        <w:rPr>
          <w:color w:val="000000"/>
        </w:rPr>
      </w:pPr>
      <w:r>
        <w:rPr>
          <w:color w:val="000000"/>
        </w:rPr>
        <w:t>Merck proposed adding the following language to the Warnings and Precautions section of the label:</w:t>
      </w:r>
    </w:p>
    <w:p w14:paraId="14B0DAA3" w14:textId="77777777" w:rsidR="00793DC4" w:rsidRDefault="00793DC4">
      <w:pPr>
        <w:widowControl w:val="0"/>
        <w:autoSpaceDE w:val="0"/>
        <w:autoSpaceDN w:val="0"/>
        <w:adjustRightInd w:val="0"/>
        <w:ind w:left="200"/>
        <w:jc w:val="both"/>
        <w:rPr>
          <w:b/>
          <w:bCs/>
          <w:color w:val="000000"/>
        </w:rPr>
      </w:pPr>
      <w:r>
        <w:rPr>
          <w:b/>
          <w:bCs/>
          <w:color w:val="000000"/>
          <w:u w:val="single"/>
        </w:rPr>
        <w:t xml:space="preserve">Low-Energy </w:t>
      </w:r>
      <w:hyperlink r:id="rId127" w:history="1">
        <w:r>
          <w:rPr>
            <w:b/>
            <w:bCs/>
            <w:color w:val="000000"/>
            <w:u w:val="single"/>
          </w:rPr>
          <w:t>Femoral Shaft Fracture</w:t>
        </w:r>
      </w:hyperlink>
    </w:p>
    <w:p w14:paraId="5FC05550" w14:textId="77777777" w:rsidR="00793DC4" w:rsidRDefault="00793DC4">
      <w:pPr>
        <w:widowControl w:val="0"/>
        <w:autoSpaceDE w:val="0"/>
        <w:autoSpaceDN w:val="0"/>
        <w:adjustRightInd w:val="0"/>
        <w:ind w:left="200"/>
        <w:jc w:val="both"/>
        <w:rPr>
          <w:color w:val="000000"/>
          <w:sz w:val="16"/>
          <w:szCs w:val="16"/>
        </w:rPr>
      </w:pPr>
      <w:r>
        <w:rPr>
          <w:color w:val="000000"/>
        </w:rPr>
        <w:t xml:space="preserve">Low-energy fractures of the </w:t>
      </w:r>
      <w:proofErr w:type="spellStart"/>
      <w:r>
        <w:rPr>
          <w:color w:val="000000"/>
        </w:rPr>
        <w:t>subtrochanteric</w:t>
      </w:r>
      <w:proofErr w:type="spellEnd"/>
      <w:r>
        <w:rPr>
          <w:color w:val="000000"/>
        </w:rPr>
        <w:t xml:space="preserve"> and proximal femoral shaft have been reported in a small number of bisphosphonate-treated patients. Some were </w:t>
      </w:r>
      <w:hyperlink r:id="rId128" w:history="1">
        <w:r>
          <w:rPr>
            <w:color w:val="000000"/>
          </w:rPr>
          <w:t>stress fractures</w:t>
        </w:r>
      </w:hyperlink>
      <w:r>
        <w:rPr>
          <w:color w:val="000000"/>
        </w:rPr>
        <w:t xml:space="preserve"> (also known as </w:t>
      </w:r>
      <w:hyperlink r:id="rId129" w:history="1">
        <w:r>
          <w:rPr>
            <w:color w:val="000000"/>
          </w:rPr>
          <w:t>insufficiency fractures</w:t>
        </w:r>
      </w:hyperlink>
      <w:r>
        <w:rPr>
          <w:color w:val="000000"/>
        </w:rPr>
        <w:t xml:space="preserve">) occurring in the absence of trauma. Some </w:t>
      </w:r>
      <w:proofErr w:type="gramStart"/>
      <w:r>
        <w:rPr>
          <w:color w:val="000000"/>
        </w:rPr>
        <w:t>patients</w:t>
      </w:r>
      <w:proofErr w:type="gramEnd"/>
      <w:r>
        <w:rPr>
          <w:color w:val="000000"/>
        </w:rPr>
        <w:t xml:space="preserve"> experienced prodromal pain in the affected area, often associated with imaging features of </w:t>
      </w:r>
      <w:hyperlink r:id="rId130" w:history="1">
        <w:r>
          <w:rPr>
            <w:color w:val="000000"/>
          </w:rPr>
          <w:t>stress fracture</w:t>
        </w:r>
      </w:hyperlink>
      <w:r>
        <w:rPr>
          <w:color w:val="000000"/>
        </w:rPr>
        <w:t xml:space="preserve">, weeks to months before a complete fracture occurred. The number of reports of this condition is very low, and </w:t>
      </w:r>
      <w:hyperlink r:id="rId131" w:history="1">
        <w:r>
          <w:rPr>
            <w:color w:val="000000"/>
          </w:rPr>
          <w:t>stress fractures</w:t>
        </w:r>
      </w:hyperlink>
      <w:r>
        <w:rPr>
          <w:color w:val="000000"/>
        </w:rPr>
        <w:t xml:space="preserve"> with similar clinical features also have occurred in patients not treated with bisphosphonates. Patients with suspected </w:t>
      </w:r>
      <w:hyperlink r:id="rId132" w:history="1">
        <w:r>
          <w:rPr>
            <w:color w:val="000000"/>
          </w:rPr>
          <w:t>stress fractures</w:t>
        </w:r>
      </w:hyperlink>
      <w:r>
        <w:rPr>
          <w:color w:val="000000"/>
        </w:rPr>
        <w:t xml:space="preserve"> should be evaluated, including evaluation for known causes and risk factors (e.g., vitamin D deficiency, </w:t>
      </w:r>
      <w:proofErr w:type="spellStart"/>
      <w:r>
        <w:rPr>
          <w:color w:val="000000"/>
        </w:rPr>
        <w:t>malabsorption</w:t>
      </w:r>
      <w:proofErr w:type="spellEnd"/>
      <w:r>
        <w:rPr>
          <w:color w:val="000000"/>
        </w:rPr>
        <w:t xml:space="preserve">, glucocorticoid use, previous </w:t>
      </w:r>
      <w:hyperlink r:id="rId133" w:history="1">
        <w:r>
          <w:rPr>
            <w:color w:val="000000"/>
          </w:rPr>
          <w:t>stress fracture</w:t>
        </w:r>
      </w:hyperlink>
      <w:r>
        <w:rPr>
          <w:color w:val="000000"/>
        </w:rPr>
        <w:t xml:space="preserve">, lower extremity </w:t>
      </w:r>
      <w:hyperlink r:id="rId134" w:history="1">
        <w:r>
          <w:rPr>
            <w:color w:val="000000"/>
          </w:rPr>
          <w:t>arthritis</w:t>
        </w:r>
      </w:hyperlink>
      <w:r>
        <w:rPr>
          <w:color w:val="000000"/>
        </w:rPr>
        <w:t xml:space="preserve"> or fracture, extreme or increased exercise, </w:t>
      </w:r>
      <w:hyperlink r:id="rId135" w:history="1">
        <w:r>
          <w:rPr>
            <w:color w:val="000000"/>
          </w:rPr>
          <w:t>diabetes mellitus</w:t>
        </w:r>
      </w:hyperlink>
      <w:r>
        <w:rPr>
          <w:color w:val="000000"/>
        </w:rPr>
        <w:t xml:space="preserve">, chronic alcohol abuse), and receive appropriate orthopedic care. Interruption of bisphosphonate therapy in patients with </w:t>
      </w:r>
      <w:hyperlink r:id="rId136" w:history="1">
        <w:r>
          <w:rPr>
            <w:color w:val="000000"/>
          </w:rPr>
          <w:t>stress fractures</w:t>
        </w:r>
      </w:hyperlink>
      <w:r>
        <w:rPr>
          <w:color w:val="000000"/>
        </w:rPr>
        <w:t xml:space="preserve"> should be considered, pending evaluation of the patient, based on individual benefit/risk assessment.</w:t>
      </w:r>
      <w:bookmarkStart w:id="82" w:name="co_footnoteReference_B00422041287330_ID0"/>
      <w:bookmarkEnd w:id="82"/>
      <w:r>
        <w:rPr>
          <w:color w:val="000000"/>
          <w:sz w:val="16"/>
          <w:szCs w:val="16"/>
        </w:rPr>
        <w:fldChar w:fldCharType="begin"/>
      </w:r>
      <w:r>
        <w:rPr>
          <w:color w:val="000000"/>
          <w:sz w:val="16"/>
          <w:szCs w:val="16"/>
        </w:rPr>
        <w:instrText xml:space="preserve">HYPERLINK "#co_footnote_B00422041287330_1" </w:instrText>
      </w:r>
      <w:r w:rsidR="00F61700">
        <w:rPr>
          <w:color w:val="000000"/>
          <w:sz w:val="16"/>
          <w:szCs w:val="16"/>
        </w:rPr>
      </w:r>
      <w:r>
        <w:rPr>
          <w:color w:val="000000"/>
          <w:sz w:val="16"/>
          <w:szCs w:val="16"/>
        </w:rPr>
        <w:fldChar w:fldCharType="separate"/>
      </w:r>
      <w:r>
        <w:rPr>
          <w:color w:val="000000"/>
          <w:sz w:val="16"/>
          <w:szCs w:val="16"/>
          <w:vertAlign w:val="superscript"/>
        </w:rPr>
        <w:t>41</w:t>
      </w:r>
      <w:r>
        <w:rPr>
          <w:color w:val="000000"/>
          <w:sz w:val="16"/>
          <w:szCs w:val="16"/>
        </w:rPr>
        <w:fldChar w:fldCharType="end"/>
      </w:r>
    </w:p>
    <w:p w14:paraId="7095BD72"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1E9630F0" w14:textId="77777777">
        <w:tblPrEx>
          <w:tblCellMar>
            <w:top w:w="0" w:type="dxa"/>
            <w:left w:w="0" w:type="dxa"/>
            <w:bottom w:w="0" w:type="dxa"/>
            <w:right w:w="0" w:type="dxa"/>
          </w:tblCellMar>
        </w:tblPrEx>
        <w:tc>
          <w:tcPr>
            <w:tcW w:w="600" w:type="dxa"/>
            <w:tcBorders>
              <w:top w:val="nil"/>
              <w:left w:val="nil"/>
              <w:bottom w:val="nil"/>
              <w:right w:val="nil"/>
            </w:tcBorders>
          </w:tcPr>
          <w:bookmarkStart w:id="83" w:name="co_footnote_B00422041287330_1"/>
          <w:bookmarkEnd w:id="83"/>
          <w:p w14:paraId="3B91A105"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"#co_footnoteReference_B00422041287330_ID0" </w:instrText>
            </w:r>
            <w:r w:rsidR="00F61700">
              <w:rPr>
                <w:color w:val="000000"/>
              </w:rPr>
            </w:r>
            <w:r>
              <w:rPr>
                <w:color w:val="000000"/>
              </w:rPr>
              <w:fldChar w:fldCharType="separate"/>
            </w:r>
            <w:r>
              <w:rPr>
                <w:color w:val="000000"/>
                <w:vertAlign w:val="superscript"/>
              </w:rPr>
              <w:t>41</w:t>
            </w:r>
            <w:r>
              <w:rPr>
                <w:color w:val="000000"/>
              </w:rPr>
              <w:fldChar w:fldCharType="end"/>
            </w:r>
          </w:p>
          <w:p w14:paraId="5CDB1827"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5C3A7A1D" w14:textId="77777777" w:rsidR="00793DC4" w:rsidRDefault="00793DC4">
            <w:pPr>
              <w:widowControl w:val="0"/>
              <w:autoSpaceDE w:val="0"/>
              <w:autoSpaceDN w:val="0"/>
              <w:adjustRightInd w:val="0"/>
              <w:jc w:val="both"/>
              <w:rPr>
                <w:color w:val="000000"/>
                <w:sz w:val="18"/>
                <w:szCs w:val="18"/>
              </w:rPr>
            </w:pPr>
            <w:r>
              <w:rPr>
                <w:color w:val="000000"/>
                <w:sz w:val="18"/>
                <w:szCs w:val="18"/>
              </w:rPr>
              <w:t>A 1371.</w:t>
            </w:r>
          </w:p>
          <w:p w14:paraId="4A6BA498" w14:textId="77777777" w:rsidR="00793DC4" w:rsidRDefault="00793DC4">
            <w:pPr>
              <w:widowControl w:val="0"/>
              <w:autoSpaceDE w:val="0"/>
              <w:autoSpaceDN w:val="0"/>
              <w:adjustRightInd w:val="0"/>
              <w:jc w:val="both"/>
              <w:rPr>
                <w:color w:val="000000"/>
                <w:sz w:val="18"/>
                <w:szCs w:val="18"/>
              </w:rPr>
            </w:pPr>
          </w:p>
        </w:tc>
      </w:tr>
    </w:tbl>
    <w:p w14:paraId="02E0393D" w14:textId="77777777" w:rsidR="00793DC4" w:rsidRDefault="00793DC4">
      <w:pPr>
        <w:widowControl w:val="0"/>
        <w:autoSpaceDE w:val="0"/>
        <w:autoSpaceDN w:val="0"/>
        <w:adjustRightInd w:val="0"/>
        <w:jc w:val="both"/>
        <w:rPr>
          <w:color w:val="000000"/>
        </w:rPr>
      </w:pPr>
    </w:p>
    <w:p w14:paraId="6F0088AA" w14:textId="77777777" w:rsidR="00793DC4" w:rsidRDefault="00793DC4">
      <w:pPr>
        <w:widowControl w:val="0"/>
        <w:autoSpaceDE w:val="0"/>
        <w:autoSpaceDN w:val="0"/>
        <w:adjustRightInd w:val="0"/>
        <w:jc w:val="both"/>
        <w:rPr>
          <w:color w:val="000000"/>
        </w:rPr>
      </w:pPr>
      <w:r>
        <w:rPr>
          <w:color w:val="000000"/>
        </w:rPr>
        <w:t xml:space="preserve">Merck also proposed adding “low-energy </w:t>
      </w:r>
      <w:hyperlink r:id="rId137" w:history="1">
        <w:r>
          <w:rPr>
            <w:color w:val="000000"/>
          </w:rPr>
          <w:t>femoral shaft fracture</w:t>
        </w:r>
      </w:hyperlink>
      <w:r>
        <w:rPr>
          <w:color w:val="000000"/>
        </w:rPr>
        <w:t>” to the list of reported adverse reactions in the Adverse Reactions section of the label,</w:t>
      </w:r>
      <w:bookmarkStart w:id="84" w:name="co_footnoteReference_B00432041287330_ID0"/>
      <w:bookmarkEnd w:id="84"/>
      <w:r>
        <w:rPr>
          <w:color w:val="000000"/>
          <w:sz w:val="16"/>
          <w:szCs w:val="16"/>
        </w:rPr>
        <w:fldChar w:fldCharType="begin"/>
      </w:r>
      <w:r>
        <w:rPr>
          <w:color w:val="000000"/>
          <w:sz w:val="16"/>
          <w:szCs w:val="16"/>
        </w:rPr>
        <w:instrText xml:space="preserve">HYPERLINK "#co_footnote_B00432041287330_1" </w:instrText>
      </w:r>
      <w:r w:rsidR="00F61700">
        <w:rPr>
          <w:color w:val="000000"/>
          <w:sz w:val="16"/>
          <w:szCs w:val="16"/>
        </w:rPr>
      </w:r>
      <w:r>
        <w:rPr>
          <w:color w:val="000000"/>
          <w:sz w:val="16"/>
          <w:szCs w:val="16"/>
        </w:rPr>
        <w:fldChar w:fldCharType="separate"/>
      </w:r>
      <w:r>
        <w:rPr>
          <w:color w:val="000000"/>
          <w:sz w:val="16"/>
          <w:szCs w:val="16"/>
          <w:vertAlign w:val="superscript"/>
        </w:rPr>
        <w:t>42</w:t>
      </w:r>
      <w:r>
        <w:rPr>
          <w:color w:val="000000"/>
          <w:sz w:val="16"/>
          <w:szCs w:val="16"/>
        </w:rPr>
        <w:fldChar w:fldCharType="end"/>
      </w:r>
      <w:r>
        <w:rPr>
          <w:color w:val="000000"/>
        </w:rPr>
        <w:t xml:space="preserve"> as well as the following statement to the Patient Package Insert: “Patients have experienced fracture in a specific part of the thigh bone. Call your doctor if you develop new or unusual pain in the hip or thigh.”</w:t>
      </w:r>
      <w:bookmarkStart w:id="85" w:name="co_footnoteReference_B00442041287330_ID0"/>
      <w:bookmarkEnd w:id="85"/>
      <w:r>
        <w:rPr>
          <w:color w:val="000000"/>
          <w:sz w:val="16"/>
          <w:szCs w:val="16"/>
        </w:rPr>
        <w:fldChar w:fldCharType="begin"/>
      </w:r>
      <w:r>
        <w:rPr>
          <w:color w:val="000000"/>
          <w:sz w:val="16"/>
          <w:szCs w:val="16"/>
        </w:rPr>
        <w:instrText xml:space="preserve">HYPERLINK "#co_footnote_B00442041287330_1" </w:instrText>
      </w:r>
      <w:r w:rsidR="00F61700">
        <w:rPr>
          <w:color w:val="000000"/>
          <w:sz w:val="16"/>
          <w:szCs w:val="16"/>
        </w:rPr>
      </w:r>
      <w:r>
        <w:rPr>
          <w:color w:val="000000"/>
          <w:sz w:val="16"/>
          <w:szCs w:val="16"/>
        </w:rPr>
        <w:fldChar w:fldCharType="separate"/>
      </w:r>
      <w:r>
        <w:rPr>
          <w:color w:val="000000"/>
          <w:sz w:val="16"/>
          <w:szCs w:val="16"/>
          <w:vertAlign w:val="superscript"/>
        </w:rPr>
        <w:t>43</w:t>
      </w:r>
      <w:r>
        <w:rPr>
          <w:color w:val="000000"/>
          <w:sz w:val="16"/>
          <w:szCs w:val="16"/>
        </w:rPr>
        <w:fldChar w:fldCharType="end"/>
      </w:r>
      <w:r>
        <w:rPr>
          <w:color w:val="000000"/>
        </w:rPr>
        <w:t xml:space="preserve"> In support of its PAS application, Merck included an analysis of femur fractures in </w:t>
      </w:r>
      <w:hyperlink r:id="rId138" w:history="1">
        <w:r>
          <w:rPr>
            <w:color w:val="000000"/>
          </w:rPr>
          <w:t>Fosamax</w:t>
        </w:r>
      </w:hyperlink>
      <w:r>
        <w:rPr>
          <w:color w:val="000000"/>
        </w:rPr>
        <w:t xml:space="preserve"> users and cited to nine articles reporting cases of low-energy </w:t>
      </w:r>
      <w:hyperlink r:id="rId139" w:history="1">
        <w:r>
          <w:rPr>
            <w:color w:val="000000"/>
          </w:rPr>
          <w:t>femoral fractures</w:t>
        </w:r>
      </w:hyperlink>
      <w:r>
        <w:rPr>
          <w:color w:val="000000"/>
        </w:rPr>
        <w:t xml:space="preserve"> in </w:t>
      </w:r>
      <w:hyperlink r:id="rId140" w:history="1">
        <w:r>
          <w:rPr>
            <w:color w:val="000000"/>
          </w:rPr>
          <w:t>Fosamax</w:t>
        </w:r>
      </w:hyperlink>
      <w:r>
        <w:rPr>
          <w:color w:val="000000"/>
        </w:rPr>
        <w:t xml:space="preserve"> users.</w:t>
      </w:r>
    </w:p>
    <w:p w14:paraId="0287C1BF"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1FDBAEB2" w14:textId="77777777">
        <w:tblPrEx>
          <w:tblCellMar>
            <w:top w:w="0" w:type="dxa"/>
            <w:left w:w="0" w:type="dxa"/>
            <w:bottom w:w="0" w:type="dxa"/>
            <w:right w:w="0" w:type="dxa"/>
          </w:tblCellMar>
        </w:tblPrEx>
        <w:tc>
          <w:tcPr>
            <w:tcW w:w="600" w:type="dxa"/>
            <w:tcBorders>
              <w:top w:val="nil"/>
              <w:left w:val="nil"/>
              <w:bottom w:val="nil"/>
              <w:right w:val="nil"/>
            </w:tcBorders>
          </w:tcPr>
          <w:bookmarkStart w:id="86" w:name="co_footnote_B00432041287330_1"/>
          <w:bookmarkEnd w:id="86"/>
          <w:p w14:paraId="2D207AA7"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"#co_footnoteReference_B00432041287330_ID0" </w:instrText>
            </w:r>
            <w:r w:rsidR="00F61700">
              <w:rPr>
                <w:color w:val="000000"/>
              </w:rPr>
            </w:r>
            <w:r>
              <w:rPr>
                <w:color w:val="000000"/>
              </w:rPr>
              <w:fldChar w:fldCharType="separate"/>
            </w:r>
            <w:r>
              <w:rPr>
                <w:color w:val="000000"/>
                <w:vertAlign w:val="superscript"/>
              </w:rPr>
              <w:t>42</w:t>
            </w:r>
            <w:r>
              <w:rPr>
                <w:color w:val="000000"/>
              </w:rPr>
              <w:fldChar w:fldCharType="end"/>
            </w:r>
          </w:p>
          <w:p w14:paraId="520E3056"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056131A8" w14:textId="77777777" w:rsidR="00793DC4" w:rsidRDefault="00793DC4">
            <w:pPr>
              <w:widowControl w:val="0"/>
              <w:autoSpaceDE w:val="0"/>
              <w:autoSpaceDN w:val="0"/>
              <w:adjustRightInd w:val="0"/>
              <w:jc w:val="both"/>
              <w:rPr>
                <w:color w:val="000000"/>
                <w:sz w:val="18"/>
                <w:szCs w:val="18"/>
              </w:rPr>
            </w:pPr>
            <w:r>
              <w:rPr>
                <w:color w:val="000000"/>
                <w:sz w:val="18"/>
                <w:szCs w:val="18"/>
              </w:rPr>
              <w:t>A 1383.</w:t>
            </w:r>
          </w:p>
          <w:p w14:paraId="7CBAA869" w14:textId="77777777" w:rsidR="00793DC4" w:rsidRDefault="00793DC4">
            <w:pPr>
              <w:widowControl w:val="0"/>
              <w:autoSpaceDE w:val="0"/>
              <w:autoSpaceDN w:val="0"/>
              <w:adjustRightInd w:val="0"/>
              <w:jc w:val="both"/>
              <w:rPr>
                <w:color w:val="000000"/>
                <w:sz w:val="18"/>
                <w:szCs w:val="18"/>
              </w:rPr>
            </w:pPr>
          </w:p>
        </w:tc>
      </w:tr>
    </w:tbl>
    <w:p w14:paraId="49C9A187"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646E1E1C" w14:textId="77777777">
        <w:tblPrEx>
          <w:tblCellMar>
            <w:top w:w="0" w:type="dxa"/>
            <w:left w:w="0" w:type="dxa"/>
            <w:bottom w:w="0" w:type="dxa"/>
            <w:right w:w="0" w:type="dxa"/>
          </w:tblCellMar>
        </w:tblPrEx>
        <w:tc>
          <w:tcPr>
            <w:tcW w:w="600" w:type="dxa"/>
            <w:tcBorders>
              <w:top w:val="nil"/>
              <w:left w:val="nil"/>
              <w:bottom w:val="nil"/>
              <w:right w:val="nil"/>
            </w:tcBorders>
          </w:tcPr>
          <w:bookmarkStart w:id="87" w:name="co_footnote_B00442041287330_1"/>
          <w:bookmarkEnd w:id="87"/>
          <w:p w14:paraId="5746A117"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"#co_footnoteReference_B00442041287330_ID0" </w:instrText>
            </w:r>
            <w:r w:rsidR="00F61700">
              <w:rPr>
                <w:color w:val="000000"/>
              </w:rPr>
            </w:r>
            <w:r>
              <w:rPr>
                <w:color w:val="000000"/>
              </w:rPr>
              <w:fldChar w:fldCharType="separate"/>
            </w:r>
            <w:r>
              <w:rPr>
                <w:color w:val="000000"/>
                <w:vertAlign w:val="superscript"/>
              </w:rPr>
              <w:t>43</w:t>
            </w:r>
            <w:r>
              <w:rPr>
                <w:color w:val="000000"/>
              </w:rPr>
              <w:fldChar w:fldCharType="end"/>
            </w:r>
          </w:p>
          <w:p w14:paraId="4B9EE285"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2964E920" w14:textId="77777777" w:rsidR="00793DC4" w:rsidRDefault="00793DC4">
            <w:pPr>
              <w:widowControl w:val="0"/>
              <w:autoSpaceDE w:val="0"/>
              <w:autoSpaceDN w:val="0"/>
              <w:adjustRightInd w:val="0"/>
              <w:jc w:val="both"/>
              <w:rPr>
                <w:color w:val="000000"/>
                <w:sz w:val="18"/>
                <w:szCs w:val="18"/>
              </w:rPr>
            </w:pPr>
            <w:r>
              <w:rPr>
                <w:color w:val="000000"/>
                <w:sz w:val="18"/>
                <w:szCs w:val="18"/>
              </w:rPr>
              <w:t>A 2742.</w:t>
            </w:r>
          </w:p>
          <w:p w14:paraId="1F503E2E" w14:textId="77777777" w:rsidR="00793DC4" w:rsidRDefault="00793DC4">
            <w:pPr>
              <w:widowControl w:val="0"/>
              <w:autoSpaceDE w:val="0"/>
              <w:autoSpaceDN w:val="0"/>
              <w:adjustRightInd w:val="0"/>
              <w:jc w:val="both"/>
              <w:rPr>
                <w:color w:val="000000"/>
                <w:sz w:val="18"/>
                <w:szCs w:val="18"/>
              </w:rPr>
            </w:pPr>
          </w:p>
        </w:tc>
      </w:tr>
    </w:tbl>
    <w:p w14:paraId="6F86093C" w14:textId="77777777" w:rsidR="00793DC4" w:rsidRDefault="00793DC4">
      <w:pPr>
        <w:widowControl w:val="0"/>
        <w:autoSpaceDE w:val="0"/>
        <w:autoSpaceDN w:val="0"/>
        <w:adjustRightInd w:val="0"/>
        <w:jc w:val="both"/>
        <w:rPr>
          <w:color w:val="000000"/>
        </w:rPr>
      </w:pPr>
    </w:p>
    <w:p w14:paraId="041D46AD" w14:textId="77777777" w:rsidR="00793DC4" w:rsidRDefault="00793DC4">
      <w:pPr>
        <w:widowControl w:val="0"/>
        <w:autoSpaceDE w:val="0"/>
        <w:autoSpaceDN w:val="0"/>
        <w:adjustRightInd w:val="0"/>
        <w:jc w:val="both"/>
        <w:rPr>
          <w:color w:val="000000"/>
          <w:sz w:val="16"/>
          <w:szCs w:val="16"/>
        </w:rPr>
      </w:pPr>
      <w:r>
        <w:rPr>
          <w:color w:val="000000"/>
        </w:rPr>
        <w:t xml:space="preserve">In April 2009, Merck representatives held a telephone conversation with Dr. Scott Monroe of the FDA. According to Merck’s internal notes, Dr. Monroe stated that the FDA could agree to add language in the Adverse Reactions section of the </w:t>
      </w:r>
      <w:r>
        <w:rPr>
          <w:b/>
          <w:bCs/>
          <w:color w:val="000000"/>
        </w:rPr>
        <w:t>*277</w:t>
      </w:r>
      <w:r>
        <w:rPr>
          <w:color w:val="000000"/>
        </w:rPr>
        <w:t xml:space="preserve"> label, but that Merck’s “elevation of this issue to a precaution in the labeling” was prolonging review.</w:t>
      </w:r>
      <w:bookmarkStart w:id="88" w:name="co_footnoteReference_B00452041287330_ID0"/>
      <w:bookmarkEnd w:id="88"/>
      <w:r>
        <w:rPr>
          <w:color w:val="000000"/>
          <w:sz w:val="16"/>
          <w:szCs w:val="16"/>
        </w:rPr>
        <w:fldChar w:fldCharType="begin"/>
      </w:r>
      <w:r>
        <w:rPr>
          <w:color w:val="000000"/>
          <w:sz w:val="16"/>
          <w:szCs w:val="16"/>
        </w:rPr>
        <w:instrText xml:space="preserve">HYPERLINK "#co_footnote_B00452041287330_1" </w:instrText>
      </w:r>
      <w:r w:rsidR="00F61700">
        <w:rPr>
          <w:color w:val="000000"/>
          <w:sz w:val="16"/>
          <w:szCs w:val="16"/>
        </w:rPr>
      </w:r>
      <w:r>
        <w:rPr>
          <w:color w:val="000000"/>
          <w:sz w:val="16"/>
          <w:szCs w:val="16"/>
        </w:rPr>
        <w:fldChar w:fldCharType="separate"/>
      </w:r>
      <w:r>
        <w:rPr>
          <w:color w:val="000000"/>
          <w:sz w:val="16"/>
          <w:szCs w:val="16"/>
          <w:vertAlign w:val="superscript"/>
        </w:rPr>
        <w:t>44</w:t>
      </w:r>
      <w:r>
        <w:rPr>
          <w:color w:val="000000"/>
          <w:sz w:val="16"/>
          <w:szCs w:val="16"/>
        </w:rPr>
        <w:fldChar w:fldCharType="end"/>
      </w:r>
      <w:r>
        <w:rPr>
          <w:color w:val="000000"/>
        </w:rPr>
        <w:t xml:space="preserve"> The FDA wanted “to approach the issue of a precaution from the [perspective] of all bisphosphonates” and was “working with the Office of Safety and Epidemiology to do so.”</w:t>
      </w:r>
      <w:bookmarkStart w:id="89" w:name="co_footnoteReference_B00462041287330_ID0"/>
      <w:bookmarkEnd w:id="89"/>
      <w:r>
        <w:rPr>
          <w:color w:val="000000"/>
          <w:sz w:val="16"/>
          <w:szCs w:val="16"/>
        </w:rPr>
        <w:fldChar w:fldCharType="begin"/>
      </w:r>
      <w:r>
        <w:rPr>
          <w:color w:val="000000"/>
          <w:sz w:val="16"/>
          <w:szCs w:val="16"/>
        </w:rPr>
        <w:instrText xml:space="preserve">HYPERLINK "#co_footnote_B00462041287330_1" </w:instrText>
      </w:r>
      <w:r w:rsidR="00F61700">
        <w:rPr>
          <w:color w:val="000000"/>
          <w:sz w:val="16"/>
          <w:szCs w:val="16"/>
        </w:rPr>
      </w:r>
      <w:r>
        <w:rPr>
          <w:color w:val="000000"/>
          <w:sz w:val="16"/>
          <w:szCs w:val="16"/>
        </w:rPr>
        <w:fldChar w:fldCharType="separate"/>
      </w:r>
      <w:r>
        <w:rPr>
          <w:color w:val="000000"/>
          <w:sz w:val="16"/>
          <w:szCs w:val="16"/>
          <w:vertAlign w:val="superscript"/>
        </w:rPr>
        <w:t>45</w:t>
      </w:r>
      <w:r>
        <w:rPr>
          <w:color w:val="000000"/>
          <w:sz w:val="16"/>
          <w:szCs w:val="16"/>
        </w:rPr>
        <w:fldChar w:fldCharType="end"/>
      </w:r>
      <w:r>
        <w:rPr>
          <w:color w:val="000000"/>
        </w:rPr>
        <w:t xml:space="preserve"> Dr. Monroe also stated that because “the conflicting nature of the literature does not provide a clear path forward, ... more time will be need[</w:t>
      </w:r>
      <w:proofErr w:type="spellStart"/>
      <w:r>
        <w:rPr>
          <w:color w:val="000000"/>
        </w:rPr>
        <w:t>ed</w:t>
      </w:r>
      <w:proofErr w:type="spellEnd"/>
      <w:r>
        <w:rPr>
          <w:color w:val="000000"/>
        </w:rPr>
        <w:t>] for FDA to formulate a formal opinion on the issue of a precaution around these data.”</w:t>
      </w:r>
      <w:bookmarkStart w:id="90" w:name="co_footnoteReference_B00472041287330_ID0"/>
      <w:bookmarkEnd w:id="90"/>
      <w:r>
        <w:rPr>
          <w:color w:val="000000"/>
          <w:sz w:val="16"/>
          <w:szCs w:val="16"/>
        </w:rPr>
        <w:fldChar w:fldCharType="begin"/>
      </w:r>
      <w:r>
        <w:rPr>
          <w:color w:val="000000"/>
          <w:sz w:val="16"/>
          <w:szCs w:val="16"/>
        </w:rPr>
        <w:instrText xml:space="preserve">HYPERLINK "#co_footnote_B00472041287330_1" </w:instrText>
      </w:r>
      <w:r w:rsidR="00F61700">
        <w:rPr>
          <w:color w:val="000000"/>
          <w:sz w:val="16"/>
          <w:szCs w:val="16"/>
        </w:rPr>
      </w:r>
      <w:r>
        <w:rPr>
          <w:color w:val="000000"/>
          <w:sz w:val="16"/>
          <w:szCs w:val="16"/>
        </w:rPr>
        <w:fldChar w:fldCharType="separate"/>
      </w:r>
      <w:r>
        <w:rPr>
          <w:color w:val="000000"/>
          <w:sz w:val="16"/>
          <w:szCs w:val="16"/>
          <w:vertAlign w:val="superscript"/>
        </w:rPr>
        <w:t>46</w:t>
      </w:r>
      <w:r>
        <w:rPr>
          <w:color w:val="000000"/>
          <w:sz w:val="16"/>
          <w:szCs w:val="16"/>
        </w:rPr>
        <w:fldChar w:fldCharType="end"/>
      </w:r>
    </w:p>
    <w:p w14:paraId="722D0255"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3DAFFB38" w14:textId="77777777">
        <w:tblPrEx>
          <w:tblCellMar>
            <w:top w:w="0" w:type="dxa"/>
            <w:left w:w="0" w:type="dxa"/>
            <w:bottom w:w="0" w:type="dxa"/>
            <w:right w:w="0" w:type="dxa"/>
          </w:tblCellMar>
        </w:tblPrEx>
        <w:tc>
          <w:tcPr>
            <w:tcW w:w="600" w:type="dxa"/>
            <w:tcBorders>
              <w:top w:val="nil"/>
              <w:left w:val="nil"/>
              <w:bottom w:val="nil"/>
              <w:right w:val="nil"/>
            </w:tcBorders>
          </w:tcPr>
          <w:bookmarkStart w:id="91" w:name="co_footnote_B00452041287330_1"/>
          <w:bookmarkEnd w:id="91"/>
          <w:p w14:paraId="43BF6C84"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"#co_footnoteReference_B00452041287330_ID0" </w:instrText>
            </w:r>
            <w:r w:rsidR="00F61700">
              <w:rPr>
                <w:color w:val="000000"/>
              </w:rPr>
            </w:r>
            <w:r>
              <w:rPr>
                <w:color w:val="000000"/>
              </w:rPr>
              <w:fldChar w:fldCharType="separate"/>
            </w:r>
            <w:r>
              <w:rPr>
                <w:color w:val="000000"/>
                <w:vertAlign w:val="superscript"/>
              </w:rPr>
              <w:t>44</w:t>
            </w:r>
            <w:r>
              <w:rPr>
                <w:color w:val="000000"/>
              </w:rPr>
              <w:fldChar w:fldCharType="end"/>
            </w:r>
          </w:p>
          <w:p w14:paraId="21B2E4B0"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66FBFA85" w14:textId="77777777" w:rsidR="00793DC4" w:rsidRDefault="00793DC4">
            <w:pPr>
              <w:widowControl w:val="0"/>
              <w:autoSpaceDE w:val="0"/>
              <w:autoSpaceDN w:val="0"/>
              <w:adjustRightInd w:val="0"/>
              <w:jc w:val="both"/>
              <w:rPr>
                <w:color w:val="000000"/>
                <w:sz w:val="18"/>
                <w:szCs w:val="18"/>
              </w:rPr>
            </w:pPr>
            <w:r>
              <w:rPr>
                <w:color w:val="000000"/>
                <w:sz w:val="18"/>
                <w:szCs w:val="18"/>
              </w:rPr>
              <w:t>A 1970-71.</w:t>
            </w:r>
          </w:p>
          <w:p w14:paraId="6BC69E33" w14:textId="77777777" w:rsidR="00793DC4" w:rsidRDefault="00793DC4">
            <w:pPr>
              <w:widowControl w:val="0"/>
              <w:autoSpaceDE w:val="0"/>
              <w:autoSpaceDN w:val="0"/>
              <w:adjustRightInd w:val="0"/>
              <w:jc w:val="both"/>
              <w:rPr>
                <w:color w:val="000000"/>
                <w:sz w:val="18"/>
                <w:szCs w:val="18"/>
              </w:rPr>
            </w:pPr>
          </w:p>
        </w:tc>
      </w:tr>
    </w:tbl>
    <w:p w14:paraId="23457461"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4C1BA489" w14:textId="77777777">
        <w:tblPrEx>
          <w:tblCellMar>
            <w:top w:w="0" w:type="dxa"/>
            <w:left w:w="0" w:type="dxa"/>
            <w:bottom w:w="0" w:type="dxa"/>
            <w:right w:w="0" w:type="dxa"/>
          </w:tblCellMar>
        </w:tblPrEx>
        <w:tc>
          <w:tcPr>
            <w:tcW w:w="600" w:type="dxa"/>
            <w:tcBorders>
              <w:top w:val="nil"/>
              <w:left w:val="nil"/>
              <w:bottom w:val="nil"/>
              <w:right w:val="nil"/>
            </w:tcBorders>
          </w:tcPr>
          <w:bookmarkStart w:id="92" w:name="co_footnote_B00462041287330_1"/>
          <w:bookmarkEnd w:id="92"/>
          <w:p w14:paraId="3A8E6955"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"#co_footnoteReference_B00462041287330_ID0" </w:instrText>
            </w:r>
            <w:r w:rsidR="00F61700">
              <w:rPr>
                <w:color w:val="000000"/>
              </w:rPr>
            </w:r>
            <w:r>
              <w:rPr>
                <w:color w:val="000000"/>
              </w:rPr>
              <w:fldChar w:fldCharType="separate"/>
            </w:r>
            <w:r>
              <w:rPr>
                <w:color w:val="000000"/>
                <w:vertAlign w:val="superscript"/>
              </w:rPr>
              <w:t>45</w:t>
            </w:r>
            <w:r>
              <w:rPr>
                <w:color w:val="000000"/>
              </w:rPr>
              <w:fldChar w:fldCharType="end"/>
            </w:r>
          </w:p>
          <w:p w14:paraId="046BAF49"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323028FC" w14:textId="77777777" w:rsidR="00793DC4" w:rsidRDefault="00793DC4">
            <w:pPr>
              <w:widowControl w:val="0"/>
              <w:autoSpaceDE w:val="0"/>
              <w:autoSpaceDN w:val="0"/>
              <w:adjustRightInd w:val="0"/>
              <w:jc w:val="both"/>
              <w:rPr>
                <w:color w:val="000000"/>
                <w:sz w:val="18"/>
                <w:szCs w:val="18"/>
              </w:rPr>
            </w:pPr>
            <w:r>
              <w:rPr>
                <w:color w:val="000000"/>
                <w:sz w:val="18"/>
                <w:szCs w:val="18"/>
              </w:rPr>
              <w:t>A 1971.</w:t>
            </w:r>
          </w:p>
          <w:p w14:paraId="7CA11E7D" w14:textId="77777777" w:rsidR="00793DC4" w:rsidRDefault="00793DC4">
            <w:pPr>
              <w:widowControl w:val="0"/>
              <w:autoSpaceDE w:val="0"/>
              <w:autoSpaceDN w:val="0"/>
              <w:adjustRightInd w:val="0"/>
              <w:jc w:val="both"/>
              <w:rPr>
                <w:color w:val="000000"/>
                <w:sz w:val="18"/>
                <w:szCs w:val="18"/>
              </w:rPr>
            </w:pPr>
          </w:p>
        </w:tc>
      </w:tr>
    </w:tbl>
    <w:p w14:paraId="5B83F0D0"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5FA2964E" w14:textId="77777777">
        <w:tblPrEx>
          <w:tblCellMar>
            <w:top w:w="0" w:type="dxa"/>
            <w:left w:w="0" w:type="dxa"/>
            <w:bottom w:w="0" w:type="dxa"/>
            <w:right w:w="0" w:type="dxa"/>
          </w:tblCellMar>
        </w:tblPrEx>
        <w:tc>
          <w:tcPr>
            <w:tcW w:w="600" w:type="dxa"/>
            <w:tcBorders>
              <w:top w:val="nil"/>
              <w:left w:val="nil"/>
              <w:bottom w:val="nil"/>
              <w:right w:val="nil"/>
            </w:tcBorders>
          </w:tcPr>
          <w:bookmarkStart w:id="93" w:name="co_footnote_B00472041287330_1"/>
          <w:bookmarkEnd w:id="93"/>
          <w:p w14:paraId="6FBA3B9E"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"#co_footnoteReference_B00472041287330_ID0" </w:instrText>
            </w:r>
            <w:r w:rsidR="00F61700">
              <w:rPr>
                <w:color w:val="000000"/>
              </w:rPr>
            </w:r>
            <w:r>
              <w:rPr>
                <w:color w:val="000000"/>
              </w:rPr>
              <w:fldChar w:fldCharType="separate"/>
            </w:r>
            <w:r>
              <w:rPr>
                <w:color w:val="000000"/>
                <w:vertAlign w:val="superscript"/>
              </w:rPr>
              <w:t>46</w:t>
            </w:r>
            <w:r>
              <w:rPr>
                <w:color w:val="000000"/>
              </w:rPr>
              <w:fldChar w:fldCharType="end"/>
            </w:r>
          </w:p>
          <w:p w14:paraId="568E175B"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2422DABF" w14:textId="77777777" w:rsidR="00793DC4" w:rsidRDefault="00793DC4">
            <w:pPr>
              <w:widowControl w:val="0"/>
              <w:autoSpaceDE w:val="0"/>
              <w:autoSpaceDN w:val="0"/>
              <w:adjustRightInd w:val="0"/>
              <w:jc w:val="both"/>
              <w:rPr>
                <w:color w:val="000000"/>
                <w:sz w:val="18"/>
                <w:szCs w:val="18"/>
              </w:rPr>
            </w:pPr>
            <w:hyperlink r:id="rId141" w:history="1">
              <w:r>
                <w:rPr>
                  <w:i/>
                  <w:iCs/>
                  <w:color w:val="000000"/>
                  <w:sz w:val="18"/>
                  <w:szCs w:val="18"/>
                </w:rPr>
                <w:t>Id</w:t>
              </w:r>
              <w:r>
                <w:rPr>
                  <w:color w:val="000000"/>
                  <w:sz w:val="18"/>
                  <w:szCs w:val="18"/>
                </w:rPr>
                <w:t>.</w:t>
              </w:r>
            </w:hyperlink>
          </w:p>
          <w:p w14:paraId="682E9F4F" w14:textId="77777777" w:rsidR="00793DC4" w:rsidRDefault="00793DC4">
            <w:pPr>
              <w:widowControl w:val="0"/>
              <w:autoSpaceDE w:val="0"/>
              <w:autoSpaceDN w:val="0"/>
              <w:adjustRightInd w:val="0"/>
              <w:jc w:val="both"/>
              <w:rPr>
                <w:color w:val="000000"/>
                <w:sz w:val="18"/>
                <w:szCs w:val="18"/>
              </w:rPr>
            </w:pPr>
          </w:p>
        </w:tc>
      </w:tr>
    </w:tbl>
    <w:p w14:paraId="7B6D0ACB" w14:textId="77777777" w:rsidR="00793DC4" w:rsidRDefault="00793DC4">
      <w:pPr>
        <w:widowControl w:val="0"/>
        <w:autoSpaceDE w:val="0"/>
        <w:autoSpaceDN w:val="0"/>
        <w:adjustRightInd w:val="0"/>
        <w:jc w:val="both"/>
        <w:rPr>
          <w:color w:val="000000"/>
        </w:rPr>
      </w:pPr>
    </w:p>
    <w:p w14:paraId="2144137F" w14:textId="77777777" w:rsidR="00793DC4" w:rsidRDefault="00793DC4">
      <w:pPr>
        <w:widowControl w:val="0"/>
        <w:autoSpaceDE w:val="0"/>
        <w:autoSpaceDN w:val="0"/>
        <w:adjustRightInd w:val="0"/>
        <w:jc w:val="both"/>
        <w:rPr>
          <w:color w:val="000000"/>
          <w:sz w:val="16"/>
          <w:szCs w:val="16"/>
        </w:rPr>
      </w:pPr>
      <w:r>
        <w:rPr>
          <w:color w:val="000000"/>
        </w:rPr>
        <w:t xml:space="preserve">Later in April 2009, an FDA liaison sent Merck an e-mail stating that the FDA was not prepared to include language about low-energy </w:t>
      </w:r>
      <w:hyperlink r:id="rId142" w:history="1">
        <w:r>
          <w:rPr>
            <w:color w:val="000000"/>
          </w:rPr>
          <w:t>femoral fractures</w:t>
        </w:r>
      </w:hyperlink>
      <w:r>
        <w:rPr>
          <w:color w:val="000000"/>
        </w:rPr>
        <w:t xml:space="preserve"> in the Warnings and Precautions section of the label and would only approve a reference to atypical fractures in the “Adverse Reaction” section.</w:t>
      </w:r>
      <w:bookmarkStart w:id="94" w:name="co_footnoteReference_B00482041287330_ID0"/>
      <w:bookmarkEnd w:id="94"/>
      <w:r>
        <w:rPr>
          <w:color w:val="000000"/>
          <w:sz w:val="16"/>
          <w:szCs w:val="16"/>
        </w:rPr>
        <w:fldChar w:fldCharType="begin"/>
      </w:r>
      <w:r>
        <w:rPr>
          <w:color w:val="000000"/>
          <w:sz w:val="16"/>
          <w:szCs w:val="16"/>
        </w:rPr>
        <w:instrText xml:space="preserve">HYPERLINK "#co_footnote_B00482041287330_1" </w:instrText>
      </w:r>
      <w:r w:rsidR="00F61700">
        <w:rPr>
          <w:color w:val="000000"/>
          <w:sz w:val="16"/>
          <w:szCs w:val="16"/>
        </w:rPr>
      </w:r>
      <w:r>
        <w:rPr>
          <w:color w:val="000000"/>
          <w:sz w:val="16"/>
          <w:szCs w:val="16"/>
        </w:rPr>
        <w:fldChar w:fldCharType="separate"/>
      </w:r>
      <w:r>
        <w:rPr>
          <w:color w:val="000000"/>
          <w:sz w:val="16"/>
          <w:szCs w:val="16"/>
          <w:vertAlign w:val="superscript"/>
        </w:rPr>
        <w:t>47</w:t>
      </w:r>
      <w:r>
        <w:rPr>
          <w:color w:val="000000"/>
          <w:sz w:val="16"/>
          <w:szCs w:val="16"/>
        </w:rPr>
        <w:fldChar w:fldCharType="end"/>
      </w:r>
      <w:r>
        <w:rPr>
          <w:color w:val="000000"/>
        </w:rPr>
        <w:t xml:space="preserve"> The FDA asked Merck to “hold off on the [Warnings and Precautions] language at this time” so that drug evaluators could “then work with [the FDA’s Office of Surveillance and Epidemiology] and Merck to decide on language for a [Warnings and Precautions] atypical fracture language, if it is warranted.”</w:t>
      </w:r>
      <w:bookmarkStart w:id="95" w:name="co_footnoteReference_B00492041287330_ID0"/>
      <w:bookmarkEnd w:id="95"/>
      <w:r>
        <w:rPr>
          <w:color w:val="000000"/>
          <w:sz w:val="16"/>
          <w:szCs w:val="16"/>
        </w:rPr>
        <w:fldChar w:fldCharType="begin"/>
      </w:r>
      <w:r>
        <w:rPr>
          <w:color w:val="000000"/>
          <w:sz w:val="16"/>
          <w:szCs w:val="16"/>
        </w:rPr>
        <w:instrText xml:space="preserve">HYPERLINK "#co_footnote_B00492041287330_1" </w:instrText>
      </w:r>
      <w:r w:rsidR="00F61700">
        <w:rPr>
          <w:color w:val="000000"/>
          <w:sz w:val="16"/>
          <w:szCs w:val="16"/>
        </w:rPr>
      </w:r>
      <w:r>
        <w:rPr>
          <w:color w:val="000000"/>
          <w:sz w:val="16"/>
          <w:szCs w:val="16"/>
        </w:rPr>
        <w:fldChar w:fldCharType="separate"/>
      </w:r>
      <w:r>
        <w:rPr>
          <w:color w:val="000000"/>
          <w:sz w:val="16"/>
          <w:szCs w:val="16"/>
          <w:vertAlign w:val="superscript"/>
        </w:rPr>
        <w:t>48</w:t>
      </w:r>
      <w:r>
        <w:rPr>
          <w:color w:val="000000"/>
          <w:sz w:val="16"/>
          <w:szCs w:val="16"/>
        </w:rPr>
        <w:fldChar w:fldCharType="end"/>
      </w:r>
    </w:p>
    <w:p w14:paraId="4BACAB74"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7678630D" w14:textId="77777777">
        <w:tblPrEx>
          <w:tblCellMar>
            <w:top w:w="0" w:type="dxa"/>
            <w:left w:w="0" w:type="dxa"/>
            <w:bottom w:w="0" w:type="dxa"/>
            <w:right w:w="0" w:type="dxa"/>
          </w:tblCellMar>
        </w:tblPrEx>
        <w:tc>
          <w:tcPr>
            <w:tcW w:w="600" w:type="dxa"/>
            <w:tcBorders>
              <w:top w:val="nil"/>
              <w:left w:val="nil"/>
              <w:bottom w:val="nil"/>
              <w:right w:val="nil"/>
            </w:tcBorders>
          </w:tcPr>
          <w:bookmarkStart w:id="96" w:name="co_footnote_B00482041287330_1"/>
          <w:bookmarkEnd w:id="96"/>
          <w:p w14:paraId="3A3A6372"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"#co_footnoteReference_B00482041287330_ID0" </w:instrText>
            </w:r>
            <w:r w:rsidR="00F61700">
              <w:rPr>
                <w:color w:val="000000"/>
              </w:rPr>
            </w:r>
            <w:r>
              <w:rPr>
                <w:color w:val="000000"/>
              </w:rPr>
              <w:fldChar w:fldCharType="separate"/>
            </w:r>
            <w:r>
              <w:rPr>
                <w:color w:val="000000"/>
                <w:vertAlign w:val="superscript"/>
              </w:rPr>
              <w:t>47</w:t>
            </w:r>
            <w:r>
              <w:rPr>
                <w:color w:val="000000"/>
              </w:rPr>
              <w:fldChar w:fldCharType="end"/>
            </w:r>
          </w:p>
          <w:p w14:paraId="6D05F23D"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182B0899" w14:textId="77777777" w:rsidR="00793DC4" w:rsidRDefault="00793DC4">
            <w:pPr>
              <w:widowControl w:val="0"/>
              <w:autoSpaceDE w:val="0"/>
              <w:autoSpaceDN w:val="0"/>
              <w:adjustRightInd w:val="0"/>
              <w:jc w:val="both"/>
              <w:rPr>
                <w:color w:val="000000"/>
                <w:sz w:val="18"/>
                <w:szCs w:val="18"/>
              </w:rPr>
            </w:pPr>
            <w:r>
              <w:rPr>
                <w:color w:val="000000"/>
                <w:sz w:val="18"/>
                <w:szCs w:val="18"/>
              </w:rPr>
              <w:t>A 1498.</w:t>
            </w:r>
          </w:p>
          <w:p w14:paraId="45F58191" w14:textId="77777777" w:rsidR="00793DC4" w:rsidRDefault="00793DC4">
            <w:pPr>
              <w:widowControl w:val="0"/>
              <w:autoSpaceDE w:val="0"/>
              <w:autoSpaceDN w:val="0"/>
              <w:adjustRightInd w:val="0"/>
              <w:jc w:val="both"/>
              <w:rPr>
                <w:color w:val="000000"/>
                <w:sz w:val="18"/>
                <w:szCs w:val="18"/>
              </w:rPr>
            </w:pPr>
          </w:p>
        </w:tc>
      </w:tr>
    </w:tbl>
    <w:p w14:paraId="037CDF97"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7F616EB2" w14:textId="77777777">
        <w:tblPrEx>
          <w:tblCellMar>
            <w:top w:w="0" w:type="dxa"/>
            <w:left w:w="0" w:type="dxa"/>
            <w:bottom w:w="0" w:type="dxa"/>
            <w:right w:w="0" w:type="dxa"/>
          </w:tblCellMar>
        </w:tblPrEx>
        <w:tc>
          <w:tcPr>
            <w:tcW w:w="600" w:type="dxa"/>
            <w:tcBorders>
              <w:top w:val="nil"/>
              <w:left w:val="nil"/>
              <w:bottom w:val="nil"/>
              <w:right w:val="nil"/>
            </w:tcBorders>
          </w:tcPr>
          <w:bookmarkStart w:id="97" w:name="co_footnote_B00492041287330_1"/>
          <w:bookmarkEnd w:id="97"/>
          <w:p w14:paraId="689A4CB0"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"#co_footnoteReference_B00492041287330_ID0" </w:instrText>
            </w:r>
            <w:r w:rsidR="00F61700">
              <w:rPr>
                <w:color w:val="000000"/>
              </w:rPr>
            </w:r>
            <w:r>
              <w:rPr>
                <w:color w:val="000000"/>
              </w:rPr>
              <w:fldChar w:fldCharType="separate"/>
            </w:r>
            <w:r>
              <w:rPr>
                <w:color w:val="000000"/>
                <w:vertAlign w:val="superscript"/>
              </w:rPr>
              <w:t>48</w:t>
            </w:r>
            <w:r>
              <w:rPr>
                <w:color w:val="000000"/>
              </w:rPr>
              <w:fldChar w:fldCharType="end"/>
            </w:r>
          </w:p>
          <w:p w14:paraId="027CFBEB"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0FD92324" w14:textId="77777777" w:rsidR="00793DC4" w:rsidRDefault="00793DC4">
            <w:pPr>
              <w:widowControl w:val="0"/>
              <w:autoSpaceDE w:val="0"/>
              <w:autoSpaceDN w:val="0"/>
              <w:adjustRightInd w:val="0"/>
              <w:jc w:val="both"/>
              <w:rPr>
                <w:color w:val="000000"/>
                <w:sz w:val="18"/>
                <w:szCs w:val="18"/>
              </w:rPr>
            </w:pPr>
            <w:hyperlink r:id="rId143" w:history="1">
              <w:r>
                <w:rPr>
                  <w:i/>
                  <w:iCs/>
                  <w:color w:val="000000"/>
                  <w:sz w:val="18"/>
                  <w:szCs w:val="18"/>
                </w:rPr>
                <w:t>Id</w:t>
              </w:r>
              <w:r>
                <w:rPr>
                  <w:color w:val="000000"/>
                  <w:sz w:val="18"/>
                  <w:szCs w:val="18"/>
                </w:rPr>
                <w:t>.</w:t>
              </w:r>
            </w:hyperlink>
          </w:p>
          <w:p w14:paraId="1825DB79" w14:textId="77777777" w:rsidR="00793DC4" w:rsidRDefault="00793DC4">
            <w:pPr>
              <w:widowControl w:val="0"/>
              <w:autoSpaceDE w:val="0"/>
              <w:autoSpaceDN w:val="0"/>
              <w:adjustRightInd w:val="0"/>
              <w:jc w:val="both"/>
              <w:rPr>
                <w:color w:val="000000"/>
                <w:sz w:val="18"/>
                <w:szCs w:val="18"/>
              </w:rPr>
            </w:pPr>
          </w:p>
        </w:tc>
      </w:tr>
    </w:tbl>
    <w:p w14:paraId="57E09647" w14:textId="77777777" w:rsidR="00793DC4" w:rsidRDefault="00793DC4">
      <w:pPr>
        <w:widowControl w:val="0"/>
        <w:autoSpaceDE w:val="0"/>
        <w:autoSpaceDN w:val="0"/>
        <w:adjustRightInd w:val="0"/>
        <w:jc w:val="both"/>
        <w:rPr>
          <w:color w:val="000000"/>
        </w:rPr>
      </w:pPr>
    </w:p>
    <w:p w14:paraId="5DF2061F" w14:textId="77777777" w:rsidR="00793DC4" w:rsidRDefault="00793DC4">
      <w:pPr>
        <w:widowControl w:val="0"/>
        <w:autoSpaceDE w:val="0"/>
        <w:autoSpaceDN w:val="0"/>
        <w:adjustRightInd w:val="0"/>
        <w:jc w:val="both"/>
        <w:rPr>
          <w:color w:val="000000"/>
        </w:rPr>
      </w:pPr>
      <w:r>
        <w:rPr>
          <w:color w:val="000000"/>
        </w:rPr>
        <w:t xml:space="preserve">In May 2009, the FDA sent Merck a “Complete Response” letter, authored by Dr. Monroe. In the Complete Response, the FDA approved the addition of “low energy femoral shaft and </w:t>
      </w:r>
      <w:hyperlink r:id="rId144" w:history="1">
        <w:proofErr w:type="spellStart"/>
        <w:r>
          <w:rPr>
            <w:color w:val="000000"/>
          </w:rPr>
          <w:t>subtrochanteric</w:t>
        </w:r>
        <w:proofErr w:type="spellEnd"/>
        <w:r>
          <w:rPr>
            <w:color w:val="000000"/>
          </w:rPr>
          <w:t xml:space="preserve"> fractures</w:t>
        </w:r>
      </w:hyperlink>
      <w:r>
        <w:rPr>
          <w:color w:val="000000"/>
        </w:rPr>
        <w:t>” to the Adverse Reactions section, but the FDA rejected Merck’s proposed addition to the Warnings and Precautions section. Because the parties vigorously dispute the grounds for this rejection, it is worth excerpting the relevant portion of the FDA notice in full:</w:t>
      </w:r>
    </w:p>
    <w:p w14:paraId="28E1B56B" w14:textId="77777777" w:rsidR="00793DC4" w:rsidRDefault="00793DC4">
      <w:pPr>
        <w:widowControl w:val="0"/>
        <w:autoSpaceDE w:val="0"/>
        <w:autoSpaceDN w:val="0"/>
        <w:adjustRightInd w:val="0"/>
        <w:spacing w:before="200"/>
        <w:ind w:left="200"/>
        <w:jc w:val="both"/>
        <w:rPr>
          <w:color w:val="000000"/>
        </w:rPr>
      </w:pPr>
      <w:r>
        <w:rPr>
          <w:color w:val="000000"/>
        </w:rPr>
        <w:t>We have completed the review of your [PAS] applications, as amended, and have determined that we cannot approve these applications in their present form. We have described below our reasons for this action and our recommendation to address this issue.</w:t>
      </w:r>
    </w:p>
    <w:p w14:paraId="75F9A1C2" w14:textId="77777777" w:rsidR="00793DC4" w:rsidRDefault="00793DC4">
      <w:pPr>
        <w:widowControl w:val="0"/>
        <w:autoSpaceDE w:val="0"/>
        <w:autoSpaceDN w:val="0"/>
        <w:adjustRightInd w:val="0"/>
        <w:ind w:left="200"/>
        <w:jc w:val="both"/>
        <w:rPr>
          <w:color w:val="000000"/>
          <w:sz w:val="16"/>
          <w:szCs w:val="16"/>
        </w:rPr>
      </w:pPr>
      <w:r>
        <w:rPr>
          <w:color w:val="000000"/>
        </w:rPr>
        <w:t xml:space="preserve">1. While the Division agrees that atypical and </w:t>
      </w:r>
      <w:hyperlink r:id="rId145" w:history="1">
        <w:proofErr w:type="spellStart"/>
        <w:r>
          <w:rPr>
            <w:color w:val="000000"/>
          </w:rPr>
          <w:t>subtrochanteric</w:t>
        </w:r>
        <w:proofErr w:type="spellEnd"/>
        <w:r>
          <w:rPr>
            <w:color w:val="000000"/>
          </w:rPr>
          <w:t xml:space="preserve"> fractures</w:t>
        </w:r>
      </w:hyperlink>
      <w:r>
        <w:rPr>
          <w:color w:val="000000"/>
        </w:rPr>
        <w:t xml:space="preserve"> should be added to the </w:t>
      </w:r>
      <w:r>
        <w:rPr>
          <w:b/>
          <w:bCs/>
          <w:color w:val="000000"/>
        </w:rPr>
        <w:t>ADVERSE REACTIONS, Post-Marketing Experience</w:t>
      </w:r>
      <w:r>
        <w:rPr>
          <w:color w:val="000000"/>
        </w:rPr>
        <w:t xml:space="preserve"> subsections of the [</w:t>
      </w:r>
      <w:hyperlink r:id="rId146" w:history="1">
        <w:r>
          <w:rPr>
            <w:color w:val="000000"/>
          </w:rPr>
          <w:t>Fosamax</w:t>
        </w:r>
      </w:hyperlink>
      <w:r>
        <w:rPr>
          <w:color w:val="000000"/>
        </w:rPr>
        <w:t xml:space="preserve">] labels, your justification for the proposed </w:t>
      </w:r>
      <w:r>
        <w:rPr>
          <w:b/>
          <w:bCs/>
          <w:color w:val="000000"/>
        </w:rPr>
        <w:t>PRECAUTIONS</w:t>
      </w:r>
      <w:r>
        <w:rPr>
          <w:color w:val="000000"/>
        </w:rPr>
        <w:t xml:space="preserve"> section language is inadequate. Identification of “</w:t>
      </w:r>
      <w:hyperlink r:id="rId147" w:history="1">
        <w:r>
          <w:rPr>
            <w:color w:val="000000"/>
          </w:rPr>
          <w:t>stress fractures</w:t>
        </w:r>
      </w:hyperlink>
      <w:r>
        <w:rPr>
          <w:color w:val="000000"/>
        </w:rPr>
        <w:t xml:space="preserve">” may not be clearly related to the atypical </w:t>
      </w:r>
      <w:hyperlink r:id="rId148" w:history="1">
        <w:proofErr w:type="spellStart"/>
        <w:r>
          <w:rPr>
            <w:color w:val="000000"/>
          </w:rPr>
          <w:t>subtrochanteric</w:t>
        </w:r>
        <w:proofErr w:type="spellEnd"/>
        <w:r>
          <w:rPr>
            <w:color w:val="000000"/>
          </w:rPr>
          <w:t xml:space="preserve"> fractures</w:t>
        </w:r>
      </w:hyperlink>
      <w:r>
        <w:rPr>
          <w:color w:val="000000"/>
        </w:rPr>
        <w:t xml:space="preserve"> that have been reported in the literature. Discussion of the risk factors for </w:t>
      </w:r>
      <w:hyperlink r:id="rId149" w:history="1">
        <w:r>
          <w:rPr>
            <w:color w:val="000000"/>
          </w:rPr>
          <w:t>stress fractures</w:t>
        </w:r>
      </w:hyperlink>
      <w:r>
        <w:rPr>
          <w:color w:val="000000"/>
        </w:rPr>
        <w:t xml:space="preserve"> is not warranted and is not adequately supported by the available literature and post-marketing adverse event reporting.</w:t>
      </w:r>
      <w:bookmarkStart w:id="98" w:name="co_footnoteReference_B00502041287330_ID0"/>
      <w:bookmarkEnd w:id="98"/>
      <w:r>
        <w:rPr>
          <w:color w:val="000000"/>
          <w:sz w:val="16"/>
          <w:szCs w:val="16"/>
        </w:rPr>
        <w:fldChar w:fldCharType="begin"/>
      </w:r>
      <w:r>
        <w:rPr>
          <w:color w:val="000000"/>
          <w:sz w:val="16"/>
          <w:szCs w:val="16"/>
        </w:rPr>
        <w:instrText xml:space="preserve">HYPERLINK "#co_footnote_B00502041287330_1" </w:instrText>
      </w:r>
      <w:r w:rsidR="00F61700">
        <w:rPr>
          <w:color w:val="000000"/>
          <w:sz w:val="16"/>
          <w:szCs w:val="16"/>
        </w:rPr>
      </w:r>
      <w:r>
        <w:rPr>
          <w:color w:val="000000"/>
          <w:sz w:val="16"/>
          <w:szCs w:val="16"/>
        </w:rPr>
        <w:fldChar w:fldCharType="separate"/>
      </w:r>
      <w:r>
        <w:rPr>
          <w:color w:val="000000"/>
          <w:sz w:val="16"/>
          <w:szCs w:val="16"/>
          <w:vertAlign w:val="superscript"/>
        </w:rPr>
        <w:t>49</w:t>
      </w:r>
      <w:r>
        <w:rPr>
          <w:color w:val="000000"/>
          <w:sz w:val="16"/>
          <w:szCs w:val="16"/>
        </w:rPr>
        <w:fldChar w:fldCharType="end"/>
      </w:r>
    </w:p>
    <w:p w14:paraId="04BF9228"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1BAA6101" w14:textId="77777777">
        <w:tblPrEx>
          <w:tblCellMar>
            <w:top w:w="0" w:type="dxa"/>
            <w:left w:w="0" w:type="dxa"/>
            <w:bottom w:w="0" w:type="dxa"/>
            <w:right w:w="0" w:type="dxa"/>
          </w:tblCellMar>
        </w:tblPrEx>
        <w:tc>
          <w:tcPr>
            <w:tcW w:w="600" w:type="dxa"/>
            <w:tcBorders>
              <w:top w:val="nil"/>
              <w:left w:val="nil"/>
              <w:bottom w:val="nil"/>
              <w:right w:val="nil"/>
            </w:tcBorders>
          </w:tcPr>
          <w:bookmarkStart w:id="99" w:name="co_footnote_B00502041287330_1"/>
          <w:bookmarkEnd w:id="99"/>
          <w:p w14:paraId="4456B39D"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"#co_footnoteReference_B00502041287330_ID0" </w:instrText>
            </w:r>
            <w:r w:rsidR="00F61700">
              <w:rPr>
                <w:color w:val="000000"/>
              </w:rPr>
            </w:r>
            <w:r>
              <w:rPr>
                <w:color w:val="000000"/>
              </w:rPr>
              <w:fldChar w:fldCharType="separate"/>
            </w:r>
            <w:r>
              <w:rPr>
                <w:color w:val="000000"/>
                <w:vertAlign w:val="superscript"/>
              </w:rPr>
              <w:t>49</w:t>
            </w:r>
            <w:r>
              <w:rPr>
                <w:color w:val="000000"/>
              </w:rPr>
              <w:fldChar w:fldCharType="end"/>
            </w:r>
          </w:p>
          <w:p w14:paraId="4D3578E2"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176B50B1" w14:textId="77777777" w:rsidR="00793DC4" w:rsidRDefault="00793DC4">
            <w:pPr>
              <w:widowControl w:val="0"/>
              <w:autoSpaceDE w:val="0"/>
              <w:autoSpaceDN w:val="0"/>
              <w:adjustRightInd w:val="0"/>
              <w:jc w:val="both"/>
              <w:rPr>
                <w:color w:val="000000"/>
                <w:sz w:val="18"/>
                <w:szCs w:val="18"/>
              </w:rPr>
            </w:pPr>
            <w:r>
              <w:rPr>
                <w:color w:val="000000"/>
                <w:sz w:val="18"/>
                <w:szCs w:val="18"/>
              </w:rPr>
              <w:t>A 1500-01.</w:t>
            </w:r>
          </w:p>
          <w:p w14:paraId="0B0360EF" w14:textId="77777777" w:rsidR="00793DC4" w:rsidRDefault="00793DC4">
            <w:pPr>
              <w:widowControl w:val="0"/>
              <w:autoSpaceDE w:val="0"/>
              <w:autoSpaceDN w:val="0"/>
              <w:adjustRightInd w:val="0"/>
              <w:jc w:val="both"/>
              <w:rPr>
                <w:color w:val="000000"/>
                <w:sz w:val="18"/>
                <w:szCs w:val="18"/>
              </w:rPr>
            </w:pPr>
          </w:p>
        </w:tc>
      </w:tr>
    </w:tbl>
    <w:p w14:paraId="72583555" w14:textId="77777777" w:rsidR="00793DC4" w:rsidRDefault="00793DC4">
      <w:pPr>
        <w:widowControl w:val="0"/>
        <w:autoSpaceDE w:val="0"/>
        <w:autoSpaceDN w:val="0"/>
        <w:adjustRightInd w:val="0"/>
        <w:jc w:val="both"/>
        <w:rPr>
          <w:color w:val="000000"/>
        </w:rPr>
      </w:pPr>
    </w:p>
    <w:p w14:paraId="3D02F324" w14:textId="77777777" w:rsidR="00793DC4" w:rsidRDefault="00793DC4">
      <w:pPr>
        <w:widowControl w:val="0"/>
        <w:autoSpaceDE w:val="0"/>
        <w:autoSpaceDN w:val="0"/>
        <w:adjustRightInd w:val="0"/>
        <w:jc w:val="both"/>
        <w:rPr>
          <w:color w:val="000000"/>
        </w:rPr>
      </w:pPr>
      <w:r>
        <w:rPr>
          <w:color w:val="000000"/>
        </w:rPr>
        <w:t>The outcome of this case hinges in large part on how one reads (or really, on how a reasonable jury could read) this language in conjunction with the FDA’s accompanying actions and communications. Plaintiffs claim that the FDA was objecting only to Merck’s use of the imprecise and potentially misleading term “</w:t>
      </w:r>
      <w:hyperlink r:id="rId150" w:history="1">
        <w:r>
          <w:rPr>
            <w:color w:val="000000"/>
          </w:rPr>
          <w:t>stress fractures</w:t>
        </w:r>
      </w:hyperlink>
      <w:r>
        <w:rPr>
          <w:color w:val="000000"/>
        </w:rPr>
        <w:t xml:space="preserve">,” and that the FDA would have approved a proposed warning that specifically discussed the risk of atypical </w:t>
      </w:r>
      <w:hyperlink r:id="rId151" w:history="1">
        <w:r>
          <w:rPr>
            <w:color w:val="000000"/>
          </w:rPr>
          <w:t>femoral fractures</w:t>
        </w:r>
      </w:hyperlink>
      <w:r>
        <w:rPr>
          <w:color w:val="000000"/>
        </w:rPr>
        <w:t xml:space="preserve"> while eliminating the general references to </w:t>
      </w:r>
      <w:hyperlink r:id="rId152" w:history="1">
        <w:r>
          <w:rPr>
            <w:color w:val="000000"/>
          </w:rPr>
          <w:t>stress fractures</w:t>
        </w:r>
      </w:hyperlink>
      <w:r>
        <w:rPr>
          <w:color w:val="000000"/>
        </w:rPr>
        <w:t xml:space="preserve">. Merck claims that this letter, along with the FDA’s other communications, demonstrates that the FDA simply did not believe there was sufficient evidence of a causal link between </w:t>
      </w:r>
      <w:hyperlink r:id="rId153" w:history="1">
        <w:r>
          <w:rPr>
            <w:color w:val="000000"/>
          </w:rPr>
          <w:t>Fosamax</w:t>
        </w:r>
      </w:hyperlink>
      <w:r>
        <w:rPr>
          <w:color w:val="000000"/>
        </w:rPr>
        <w:t xml:space="preserve"> use and atypical fractures, and would have </w:t>
      </w:r>
      <w:r>
        <w:rPr>
          <w:b/>
          <w:bCs/>
          <w:color w:val="000000"/>
        </w:rPr>
        <w:t>*278</w:t>
      </w:r>
      <w:r>
        <w:rPr>
          <w:color w:val="000000"/>
        </w:rPr>
        <w:t xml:space="preserve"> rejected </w:t>
      </w:r>
      <w:r>
        <w:rPr>
          <w:i/>
          <w:iCs/>
          <w:color w:val="000000"/>
        </w:rPr>
        <w:t>any</w:t>
      </w:r>
      <w:r>
        <w:rPr>
          <w:color w:val="000000"/>
        </w:rPr>
        <w:t xml:space="preserve"> proposed warning relating to such a risk.</w:t>
      </w:r>
    </w:p>
    <w:p w14:paraId="35369042" w14:textId="77777777" w:rsidR="00793DC4" w:rsidRDefault="00793DC4">
      <w:pPr>
        <w:widowControl w:val="0"/>
        <w:autoSpaceDE w:val="0"/>
        <w:autoSpaceDN w:val="0"/>
        <w:adjustRightInd w:val="0"/>
        <w:jc w:val="both"/>
        <w:rPr>
          <w:color w:val="000000"/>
        </w:rPr>
      </w:pPr>
      <w:r>
        <w:rPr>
          <w:color w:val="000000"/>
        </w:rPr>
        <w:t> </w:t>
      </w:r>
    </w:p>
    <w:p w14:paraId="09490833" w14:textId="77777777" w:rsidR="00793DC4" w:rsidRDefault="00793DC4">
      <w:pPr>
        <w:widowControl w:val="0"/>
        <w:autoSpaceDE w:val="0"/>
        <w:autoSpaceDN w:val="0"/>
        <w:adjustRightInd w:val="0"/>
        <w:spacing w:before="400" w:after="200"/>
        <w:jc w:val="center"/>
        <w:rPr>
          <w:color w:val="000000"/>
          <w:u w:val="single"/>
        </w:rPr>
      </w:pPr>
      <w:r>
        <w:rPr>
          <w:color w:val="000000"/>
        </w:rPr>
        <w:t xml:space="preserve">iii. </w:t>
      </w:r>
      <w:r>
        <w:rPr>
          <w:color w:val="000000"/>
          <w:u w:val="single"/>
        </w:rPr>
        <w:t xml:space="preserve">The FDA </w:t>
      </w:r>
      <w:proofErr w:type="gramStart"/>
      <w:r>
        <w:rPr>
          <w:color w:val="000000"/>
          <w:u w:val="single"/>
        </w:rPr>
        <w:t>Revises</w:t>
      </w:r>
      <w:proofErr w:type="gramEnd"/>
      <w:r>
        <w:rPr>
          <w:color w:val="000000"/>
          <w:u w:val="single"/>
        </w:rPr>
        <w:t xml:space="preserve"> its Position on the Link Between Bisphosphonates and Atypical Femur Fractures</w:t>
      </w:r>
    </w:p>
    <w:p w14:paraId="51CC464C" w14:textId="77777777" w:rsidR="00793DC4" w:rsidRDefault="00793DC4">
      <w:pPr>
        <w:widowControl w:val="0"/>
        <w:autoSpaceDE w:val="0"/>
        <w:autoSpaceDN w:val="0"/>
        <w:adjustRightInd w:val="0"/>
        <w:jc w:val="both"/>
        <w:rPr>
          <w:color w:val="000000"/>
        </w:rPr>
      </w:pPr>
      <w:r>
        <w:rPr>
          <w:color w:val="000000"/>
        </w:rPr>
        <w:t xml:space="preserve">In March 2010, after reviewing the data submitted by Merck and other manufacturers, the FDA stated publicly that the data reviewed to date had “not shown a clear connection between bisphosphonate use and a risk of atypical </w:t>
      </w:r>
      <w:hyperlink r:id="rId154" w:history="1">
        <w:proofErr w:type="spellStart"/>
        <w:r>
          <w:rPr>
            <w:color w:val="000000"/>
          </w:rPr>
          <w:t>subtrochanteric</w:t>
        </w:r>
        <w:proofErr w:type="spellEnd"/>
        <w:r>
          <w:rPr>
            <w:color w:val="000000"/>
          </w:rPr>
          <w:t xml:space="preserve"> femur fractures</w:t>
        </w:r>
      </w:hyperlink>
      <w:r>
        <w:rPr>
          <w:color w:val="000000"/>
        </w:rPr>
        <w:t>.”</w:t>
      </w:r>
      <w:bookmarkStart w:id="100" w:name="co_footnoteReference_B00512041287330_ID0"/>
      <w:bookmarkEnd w:id="100"/>
      <w:r>
        <w:rPr>
          <w:color w:val="000000"/>
          <w:sz w:val="16"/>
          <w:szCs w:val="16"/>
        </w:rPr>
        <w:fldChar w:fldCharType="begin"/>
      </w:r>
      <w:r>
        <w:rPr>
          <w:color w:val="000000"/>
          <w:sz w:val="16"/>
          <w:szCs w:val="16"/>
        </w:rPr>
        <w:instrText xml:space="preserve">HYPERLINK "#co_footnote_B00512041287330_1" </w:instrText>
      </w:r>
      <w:r w:rsidR="00F61700">
        <w:rPr>
          <w:color w:val="000000"/>
          <w:sz w:val="16"/>
          <w:szCs w:val="16"/>
        </w:rPr>
      </w:r>
      <w:r>
        <w:rPr>
          <w:color w:val="000000"/>
          <w:sz w:val="16"/>
          <w:szCs w:val="16"/>
        </w:rPr>
        <w:fldChar w:fldCharType="separate"/>
      </w:r>
      <w:r>
        <w:rPr>
          <w:color w:val="000000"/>
          <w:sz w:val="16"/>
          <w:szCs w:val="16"/>
          <w:vertAlign w:val="superscript"/>
        </w:rPr>
        <w:t>50</w:t>
      </w:r>
      <w:r>
        <w:rPr>
          <w:color w:val="000000"/>
          <w:sz w:val="16"/>
          <w:szCs w:val="16"/>
        </w:rPr>
        <w:fldChar w:fldCharType="end"/>
      </w:r>
      <w:r>
        <w:rPr>
          <w:color w:val="000000"/>
        </w:rPr>
        <w:t xml:space="preserve"> The FDA announced that it would work with an outside expert task force to gather additional information.</w:t>
      </w:r>
    </w:p>
    <w:p w14:paraId="24B1AD2C"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0C1A2552" w14:textId="77777777">
        <w:tblPrEx>
          <w:tblCellMar>
            <w:top w:w="0" w:type="dxa"/>
            <w:left w:w="0" w:type="dxa"/>
            <w:bottom w:w="0" w:type="dxa"/>
            <w:right w:w="0" w:type="dxa"/>
          </w:tblCellMar>
        </w:tblPrEx>
        <w:tc>
          <w:tcPr>
            <w:tcW w:w="600" w:type="dxa"/>
            <w:tcBorders>
              <w:top w:val="nil"/>
              <w:left w:val="nil"/>
              <w:bottom w:val="nil"/>
              <w:right w:val="nil"/>
            </w:tcBorders>
          </w:tcPr>
          <w:bookmarkStart w:id="101" w:name="co_footnote_B00512041287330_1"/>
          <w:bookmarkEnd w:id="101"/>
          <w:p w14:paraId="4F4D4979"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"#co_footnoteReference_B00512041287330_ID0" </w:instrText>
            </w:r>
            <w:r w:rsidR="00F61700">
              <w:rPr>
                <w:color w:val="000000"/>
              </w:rPr>
            </w:r>
            <w:r>
              <w:rPr>
                <w:color w:val="000000"/>
              </w:rPr>
              <w:fldChar w:fldCharType="separate"/>
            </w:r>
            <w:r>
              <w:rPr>
                <w:color w:val="000000"/>
                <w:vertAlign w:val="superscript"/>
              </w:rPr>
              <w:t>50</w:t>
            </w:r>
            <w:r>
              <w:rPr>
                <w:color w:val="000000"/>
              </w:rPr>
              <w:fldChar w:fldCharType="end"/>
            </w:r>
          </w:p>
          <w:p w14:paraId="630894A6"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5B3BA182" w14:textId="77777777" w:rsidR="00793DC4" w:rsidRDefault="00793DC4">
            <w:pPr>
              <w:widowControl w:val="0"/>
              <w:autoSpaceDE w:val="0"/>
              <w:autoSpaceDN w:val="0"/>
              <w:adjustRightInd w:val="0"/>
              <w:jc w:val="both"/>
              <w:rPr>
                <w:color w:val="000000"/>
                <w:sz w:val="18"/>
                <w:szCs w:val="18"/>
              </w:rPr>
            </w:pPr>
            <w:r>
              <w:rPr>
                <w:color w:val="000000"/>
                <w:sz w:val="18"/>
                <w:szCs w:val="18"/>
              </w:rPr>
              <w:t>A 1508.</w:t>
            </w:r>
          </w:p>
          <w:p w14:paraId="19AFE613" w14:textId="77777777" w:rsidR="00793DC4" w:rsidRDefault="00793DC4">
            <w:pPr>
              <w:widowControl w:val="0"/>
              <w:autoSpaceDE w:val="0"/>
              <w:autoSpaceDN w:val="0"/>
              <w:adjustRightInd w:val="0"/>
              <w:jc w:val="both"/>
              <w:rPr>
                <w:color w:val="000000"/>
                <w:sz w:val="18"/>
                <w:szCs w:val="18"/>
              </w:rPr>
            </w:pPr>
          </w:p>
        </w:tc>
      </w:tr>
    </w:tbl>
    <w:p w14:paraId="62167A07" w14:textId="77777777" w:rsidR="00793DC4" w:rsidRDefault="00793DC4">
      <w:pPr>
        <w:widowControl w:val="0"/>
        <w:autoSpaceDE w:val="0"/>
        <w:autoSpaceDN w:val="0"/>
        <w:adjustRightInd w:val="0"/>
        <w:jc w:val="both"/>
        <w:rPr>
          <w:color w:val="000000"/>
        </w:rPr>
      </w:pPr>
    </w:p>
    <w:p w14:paraId="13544413" w14:textId="77777777" w:rsidR="00793DC4" w:rsidRDefault="00793DC4">
      <w:pPr>
        <w:widowControl w:val="0"/>
        <w:autoSpaceDE w:val="0"/>
        <w:autoSpaceDN w:val="0"/>
        <w:adjustRightInd w:val="0"/>
        <w:jc w:val="both"/>
        <w:rPr>
          <w:color w:val="000000"/>
          <w:sz w:val="16"/>
          <w:szCs w:val="16"/>
        </w:rPr>
      </w:pPr>
      <w:r>
        <w:rPr>
          <w:color w:val="000000"/>
        </w:rPr>
        <w:t xml:space="preserve">In September 2010, the task force published a report finding that “there is evidence of a relationship between long-term [bisphosphonate] use and a specific type of </w:t>
      </w:r>
      <w:proofErr w:type="spellStart"/>
      <w:r>
        <w:rPr>
          <w:color w:val="000000"/>
        </w:rPr>
        <w:t>subtrochanteric</w:t>
      </w:r>
      <w:proofErr w:type="spellEnd"/>
      <w:r>
        <w:rPr>
          <w:color w:val="000000"/>
        </w:rPr>
        <w:t xml:space="preserve"> and </w:t>
      </w:r>
      <w:hyperlink r:id="rId155" w:history="1">
        <w:r>
          <w:rPr>
            <w:color w:val="000000"/>
          </w:rPr>
          <w:t>femoral shaft fracture</w:t>
        </w:r>
      </w:hyperlink>
      <w:r>
        <w:rPr>
          <w:color w:val="000000"/>
        </w:rPr>
        <w:t>.”</w:t>
      </w:r>
      <w:bookmarkStart w:id="102" w:name="co_footnoteReference_B00522041287330_ID0"/>
      <w:bookmarkEnd w:id="102"/>
      <w:r>
        <w:rPr>
          <w:color w:val="000000"/>
          <w:sz w:val="16"/>
          <w:szCs w:val="16"/>
        </w:rPr>
        <w:fldChar w:fldCharType="begin"/>
      </w:r>
      <w:r>
        <w:rPr>
          <w:color w:val="000000"/>
          <w:sz w:val="16"/>
          <w:szCs w:val="16"/>
        </w:rPr>
        <w:instrText xml:space="preserve">HYPERLINK "#co_footnote_B00522041287330_1" </w:instrText>
      </w:r>
      <w:r w:rsidR="00F61700">
        <w:rPr>
          <w:color w:val="000000"/>
          <w:sz w:val="16"/>
          <w:szCs w:val="16"/>
        </w:rPr>
      </w:r>
      <w:r>
        <w:rPr>
          <w:color w:val="000000"/>
          <w:sz w:val="16"/>
          <w:szCs w:val="16"/>
        </w:rPr>
        <w:fldChar w:fldCharType="separate"/>
      </w:r>
      <w:r>
        <w:rPr>
          <w:color w:val="000000"/>
          <w:sz w:val="16"/>
          <w:szCs w:val="16"/>
          <w:vertAlign w:val="superscript"/>
        </w:rPr>
        <w:t>51</w:t>
      </w:r>
      <w:r>
        <w:rPr>
          <w:color w:val="000000"/>
          <w:sz w:val="16"/>
          <w:szCs w:val="16"/>
        </w:rPr>
        <w:fldChar w:fldCharType="end"/>
      </w:r>
      <w:r>
        <w:rPr>
          <w:color w:val="000000"/>
        </w:rPr>
        <w:t xml:space="preserve"> The report stated that although there was an association between long-term bisphosphonate use and atypical fractures, the association had not been proven to be causal. The FDA responded by issuing a Drug Safety Communication stating that, “[</w:t>
      </w:r>
      <w:proofErr w:type="gramStart"/>
      <w:r>
        <w:rPr>
          <w:color w:val="000000"/>
        </w:rPr>
        <w:t>a]</w:t>
      </w:r>
      <w:proofErr w:type="spellStart"/>
      <w:r>
        <w:rPr>
          <w:color w:val="000000"/>
        </w:rPr>
        <w:t>lthough</w:t>
      </w:r>
      <w:proofErr w:type="spellEnd"/>
      <w:proofErr w:type="gramEnd"/>
      <w:r>
        <w:rPr>
          <w:color w:val="000000"/>
        </w:rPr>
        <w:t xml:space="preserve"> it is not clear if bisphosphonates are the cause [of fractures], these unusual femur fractures have been identified in patients taking these drugs.”</w:t>
      </w:r>
      <w:bookmarkStart w:id="103" w:name="co_footnoteReference_B00532041287330_ID0"/>
      <w:bookmarkEnd w:id="103"/>
      <w:r>
        <w:rPr>
          <w:color w:val="000000"/>
          <w:sz w:val="16"/>
          <w:szCs w:val="16"/>
        </w:rPr>
        <w:fldChar w:fldCharType="begin"/>
      </w:r>
      <w:r>
        <w:rPr>
          <w:color w:val="000000"/>
          <w:sz w:val="16"/>
          <w:szCs w:val="16"/>
        </w:rPr>
        <w:instrText xml:space="preserve">HYPERLINK "#co_footnote_B00532041287330_1" </w:instrText>
      </w:r>
      <w:r w:rsidR="00F61700">
        <w:rPr>
          <w:color w:val="000000"/>
          <w:sz w:val="16"/>
          <w:szCs w:val="16"/>
        </w:rPr>
      </w:r>
      <w:r>
        <w:rPr>
          <w:color w:val="000000"/>
          <w:sz w:val="16"/>
          <w:szCs w:val="16"/>
        </w:rPr>
        <w:fldChar w:fldCharType="separate"/>
      </w:r>
      <w:r>
        <w:rPr>
          <w:color w:val="000000"/>
          <w:sz w:val="16"/>
          <w:szCs w:val="16"/>
          <w:vertAlign w:val="superscript"/>
        </w:rPr>
        <w:t>52</w:t>
      </w:r>
      <w:r>
        <w:rPr>
          <w:color w:val="000000"/>
          <w:sz w:val="16"/>
          <w:szCs w:val="16"/>
        </w:rPr>
        <w:fldChar w:fldCharType="end"/>
      </w:r>
      <w:r>
        <w:rPr>
          <w:color w:val="000000"/>
        </w:rPr>
        <w:t xml:space="preserve"> Regarding the task force’s recommendation of a label change, the FDA stated that it “has assembled and is thoroughly reviewing all long term data available on the products, as well as all safety reports” and would be “considering label revisions.”</w:t>
      </w:r>
      <w:bookmarkStart w:id="104" w:name="co_footnoteReference_B00542041287330_ID0"/>
      <w:bookmarkEnd w:id="104"/>
      <w:r>
        <w:rPr>
          <w:color w:val="000000"/>
          <w:sz w:val="16"/>
          <w:szCs w:val="16"/>
        </w:rPr>
        <w:fldChar w:fldCharType="begin"/>
      </w:r>
      <w:r>
        <w:rPr>
          <w:color w:val="000000"/>
          <w:sz w:val="16"/>
          <w:szCs w:val="16"/>
        </w:rPr>
        <w:instrText xml:space="preserve">HYPERLINK "#co_footnote_B00542041287330_1" </w:instrText>
      </w:r>
      <w:r w:rsidR="00F61700">
        <w:rPr>
          <w:color w:val="000000"/>
          <w:sz w:val="16"/>
          <w:szCs w:val="16"/>
        </w:rPr>
      </w:r>
      <w:r>
        <w:rPr>
          <w:color w:val="000000"/>
          <w:sz w:val="16"/>
          <w:szCs w:val="16"/>
        </w:rPr>
        <w:fldChar w:fldCharType="separate"/>
      </w:r>
      <w:r>
        <w:rPr>
          <w:color w:val="000000"/>
          <w:sz w:val="16"/>
          <w:szCs w:val="16"/>
          <w:vertAlign w:val="superscript"/>
        </w:rPr>
        <w:t>53</w:t>
      </w:r>
      <w:r>
        <w:rPr>
          <w:color w:val="000000"/>
          <w:sz w:val="16"/>
          <w:szCs w:val="16"/>
        </w:rPr>
        <w:fldChar w:fldCharType="end"/>
      </w:r>
    </w:p>
    <w:p w14:paraId="22C4451A"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606B41E9" w14:textId="77777777">
        <w:tblPrEx>
          <w:tblCellMar>
            <w:top w:w="0" w:type="dxa"/>
            <w:left w:w="0" w:type="dxa"/>
            <w:bottom w:w="0" w:type="dxa"/>
            <w:right w:w="0" w:type="dxa"/>
          </w:tblCellMar>
        </w:tblPrEx>
        <w:tc>
          <w:tcPr>
            <w:tcW w:w="600" w:type="dxa"/>
            <w:tcBorders>
              <w:top w:val="nil"/>
              <w:left w:val="nil"/>
              <w:bottom w:val="nil"/>
              <w:right w:val="nil"/>
            </w:tcBorders>
          </w:tcPr>
          <w:bookmarkStart w:id="105" w:name="co_footnote_B00522041287330_1"/>
          <w:bookmarkEnd w:id="105"/>
          <w:p w14:paraId="5E9BB2C3"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"#co_footnoteReference_B00522041287330_ID0" </w:instrText>
            </w:r>
            <w:r w:rsidR="00F61700">
              <w:rPr>
                <w:color w:val="000000"/>
              </w:rPr>
            </w:r>
            <w:r>
              <w:rPr>
                <w:color w:val="000000"/>
              </w:rPr>
              <w:fldChar w:fldCharType="separate"/>
            </w:r>
            <w:r>
              <w:rPr>
                <w:color w:val="000000"/>
                <w:vertAlign w:val="superscript"/>
              </w:rPr>
              <w:t>51</w:t>
            </w:r>
            <w:r>
              <w:rPr>
                <w:color w:val="000000"/>
              </w:rPr>
              <w:fldChar w:fldCharType="end"/>
            </w:r>
          </w:p>
          <w:p w14:paraId="1625C526"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42090245" w14:textId="77777777" w:rsidR="00793DC4" w:rsidRDefault="00793DC4">
            <w:pPr>
              <w:widowControl w:val="0"/>
              <w:autoSpaceDE w:val="0"/>
              <w:autoSpaceDN w:val="0"/>
              <w:adjustRightInd w:val="0"/>
              <w:jc w:val="both"/>
              <w:rPr>
                <w:color w:val="000000"/>
                <w:sz w:val="18"/>
                <w:szCs w:val="18"/>
              </w:rPr>
            </w:pPr>
            <w:proofErr w:type="gramStart"/>
            <w:r>
              <w:rPr>
                <w:color w:val="000000"/>
                <w:sz w:val="18"/>
                <w:szCs w:val="18"/>
              </w:rPr>
              <w:t>A</w:t>
            </w:r>
            <w:proofErr w:type="gramEnd"/>
            <w:r>
              <w:rPr>
                <w:color w:val="000000"/>
                <w:sz w:val="18"/>
                <w:szCs w:val="18"/>
              </w:rPr>
              <w:t xml:space="preserve"> 1167.</w:t>
            </w:r>
          </w:p>
          <w:p w14:paraId="6EA8E522" w14:textId="77777777" w:rsidR="00793DC4" w:rsidRDefault="00793DC4">
            <w:pPr>
              <w:widowControl w:val="0"/>
              <w:autoSpaceDE w:val="0"/>
              <w:autoSpaceDN w:val="0"/>
              <w:adjustRightInd w:val="0"/>
              <w:jc w:val="both"/>
              <w:rPr>
                <w:color w:val="000000"/>
                <w:sz w:val="18"/>
                <w:szCs w:val="18"/>
              </w:rPr>
            </w:pPr>
          </w:p>
        </w:tc>
      </w:tr>
    </w:tbl>
    <w:p w14:paraId="0DCC6B87"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4D419407" w14:textId="77777777">
        <w:tblPrEx>
          <w:tblCellMar>
            <w:top w:w="0" w:type="dxa"/>
            <w:left w:w="0" w:type="dxa"/>
            <w:bottom w:w="0" w:type="dxa"/>
            <w:right w:w="0" w:type="dxa"/>
          </w:tblCellMar>
        </w:tblPrEx>
        <w:tc>
          <w:tcPr>
            <w:tcW w:w="600" w:type="dxa"/>
            <w:tcBorders>
              <w:top w:val="nil"/>
              <w:left w:val="nil"/>
              <w:bottom w:val="nil"/>
              <w:right w:val="nil"/>
            </w:tcBorders>
          </w:tcPr>
          <w:bookmarkStart w:id="106" w:name="co_footnote_B00532041287330_1"/>
          <w:bookmarkEnd w:id="106"/>
          <w:p w14:paraId="7645D263"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"#co_footnoteReference_B00532041287330_ID0" </w:instrText>
            </w:r>
            <w:r w:rsidR="00F61700">
              <w:rPr>
                <w:color w:val="000000"/>
              </w:rPr>
            </w:r>
            <w:r>
              <w:rPr>
                <w:color w:val="000000"/>
              </w:rPr>
              <w:fldChar w:fldCharType="separate"/>
            </w:r>
            <w:r>
              <w:rPr>
                <w:color w:val="000000"/>
                <w:vertAlign w:val="superscript"/>
              </w:rPr>
              <w:t>52</w:t>
            </w:r>
            <w:r>
              <w:rPr>
                <w:color w:val="000000"/>
              </w:rPr>
              <w:fldChar w:fldCharType="end"/>
            </w:r>
          </w:p>
          <w:p w14:paraId="6FA51094"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2A79FE45" w14:textId="77777777" w:rsidR="00793DC4" w:rsidRDefault="00793DC4">
            <w:pPr>
              <w:widowControl w:val="0"/>
              <w:autoSpaceDE w:val="0"/>
              <w:autoSpaceDN w:val="0"/>
              <w:adjustRightInd w:val="0"/>
              <w:jc w:val="both"/>
              <w:rPr>
                <w:color w:val="000000"/>
                <w:sz w:val="18"/>
                <w:szCs w:val="18"/>
              </w:rPr>
            </w:pPr>
            <w:r>
              <w:rPr>
                <w:color w:val="000000"/>
                <w:sz w:val="18"/>
                <w:szCs w:val="18"/>
              </w:rPr>
              <w:t>A 1512.</w:t>
            </w:r>
          </w:p>
          <w:p w14:paraId="251C6453" w14:textId="77777777" w:rsidR="00793DC4" w:rsidRDefault="00793DC4">
            <w:pPr>
              <w:widowControl w:val="0"/>
              <w:autoSpaceDE w:val="0"/>
              <w:autoSpaceDN w:val="0"/>
              <w:adjustRightInd w:val="0"/>
              <w:jc w:val="both"/>
              <w:rPr>
                <w:color w:val="000000"/>
                <w:sz w:val="18"/>
                <w:szCs w:val="18"/>
              </w:rPr>
            </w:pPr>
          </w:p>
        </w:tc>
      </w:tr>
    </w:tbl>
    <w:p w14:paraId="67D89C25"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010E6B67" w14:textId="77777777">
        <w:tblPrEx>
          <w:tblCellMar>
            <w:top w:w="0" w:type="dxa"/>
            <w:left w:w="0" w:type="dxa"/>
            <w:bottom w:w="0" w:type="dxa"/>
            <w:right w:w="0" w:type="dxa"/>
          </w:tblCellMar>
        </w:tblPrEx>
        <w:tc>
          <w:tcPr>
            <w:tcW w:w="600" w:type="dxa"/>
            <w:tcBorders>
              <w:top w:val="nil"/>
              <w:left w:val="nil"/>
              <w:bottom w:val="nil"/>
              <w:right w:val="nil"/>
            </w:tcBorders>
          </w:tcPr>
          <w:bookmarkStart w:id="107" w:name="co_footnote_B00542041287330_1"/>
          <w:bookmarkEnd w:id="107"/>
          <w:p w14:paraId="7BEB1BD8"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"#co_footnoteReference_B00542041287330_ID0" </w:instrText>
            </w:r>
            <w:r w:rsidR="00F61700">
              <w:rPr>
                <w:color w:val="000000"/>
              </w:rPr>
            </w:r>
            <w:r>
              <w:rPr>
                <w:color w:val="000000"/>
              </w:rPr>
              <w:fldChar w:fldCharType="separate"/>
            </w:r>
            <w:r>
              <w:rPr>
                <w:color w:val="000000"/>
                <w:vertAlign w:val="superscript"/>
              </w:rPr>
              <w:t>53</w:t>
            </w:r>
            <w:r>
              <w:rPr>
                <w:color w:val="000000"/>
              </w:rPr>
              <w:fldChar w:fldCharType="end"/>
            </w:r>
          </w:p>
          <w:p w14:paraId="05981699"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36A79910" w14:textId="77777777" w:rsidR="00793DC4" w:rsidRDefault="00793DC4">
            <w:pPr>
              <w:widowControl w:val="0"/>
              <w:autoSpaceDE w:val="0"/>
              <w:autoSpaceDN w:val="0"/>
              <w:adjustRightInd w:val="0"/>
              <w:jc w:val="both"/>
              <w:rPr>
                <w:color w:val="000000"/>
                <w:sz w:val="18"/>
                <w:szCs w:val="18"/>
              </w:rPr>
            </w:pPr>
            <w:hyperlink r:id="rId156" w:history="1">
              <w:r>
                <w:rPr>
                  <w:i/>
                  <w:iCs/>
                  <w:color w:val="000000"/>
                  <w:sz w:val="18"/>
                  <w:szCs w:val="18"/>
                </w:rPr>
                <w:t>Id</w:t>
              </w:r>
              <w:r>
                <w:rPr>
                  <w:color w:val="000000"/>
                  <w:sz w:val="18"/>
                  <w:szCs w:val="18"/>
                </w:rPr>
                <w:t>.</w:t>
              </w:r>
            </w:hyperlink>
          </w:p>
          <w:p w14:paraId="56A7DE77" w14:textId="77777777" w:rsidR="00793DC4" w:rsidRDefault="00793DC4">
            <w:pPr>
              <w:widowControl w:val="0"/>
              <w:autoSpaceDE w:val="0"/>
              <w:autoSpaceDN w:val="0"/>
              <w:adjustRightInd w:val="0"/>
              <w:jc w:val="both"/>
              <w:rPr>
                <w:color w:val="000000"/>
                <w:sz w:val="18"/>
                <w:szCs w:val="18"/>
              </w:rPr>
            </w:pPr>
          </w:p>
        </w:tc>
      </w:tr>
    </w:tbl>
    <w:p w14:paraId="213AFEAD" w14:textId="77777777" w:rsidR="00793DC4" w:rsidRDefault="00793DC4">
      <w:pPr>
        <w:widowControl w:val="0"/>
        <w:autoSpaceDE w:val="0"/>
        <w:autoSpaceDN w:val="0"/>
        <w:adjustRightInd w:val="0"/>
        <w:jc w:val="both"/>
        <w:rPr>
          <w:color w:val="000000"/>
        </w:rPr>
      </w:pPr>
    </w:p>
    <w:p w14:paraId="6F48E56C" w14:textId="77777777" w:rsidR="00793DC4" w:rsidRDefault="00793DC4">
      <w:pPr>
        <w:widowControl w:val="0"/>
        <w:autoSpaceDE w:val="0"/>
        <w:autoSpaceDN w:val="0"/>
        <w:adjustRightInd w:val="0"/>
        <w:jc w:val="both"/>
        <w:rPr>
          <w:color w:val="000000"/>
          <w:sz w:val="16"/>
          <w:szCs w:val="16"/>
        </w:rPr>
      </w:pPr>
      <w:r>
        <w:rPr>
          <w:color w:val="000000"/>
        </w:rPr>
        <w:t xml:space="preserve">In October 2010, the FDA announced that it would require all bisphosphonate manufacturers to add information regarding the risk of atypical </w:t>
      </w:r>
      <w:hyperlink r:id="rId157" w:history="1">
        <w:r>
          <w:rPr>
            <w:color w:val="000000"/>
          </w:rPr>
          <w:t>femoral fractures</w:t>
        </w:r>
      </w:hyperlink>
      <w:r>
        <w:rPr>
          <w:color w:val="000000"/>
        </w:rPr>
        <w:t xml:space="preserve"> to the Warnings and Precautions section of the drug labels, based on the FDA’s conclusion that “these atypical fractures may be related to long-term ... bisphosphonate use.”</w:t>
      </w:r>
      <w:bookmarkStart w:id="108" w:name="co_footnoteReference_B00552041287330_ID0"/>
      <w:bookmarkEnd w:id="108"/>
      <w:r>
        <w:rPr>
          <w:color w:val="000000"/>
          <w:sz w:val="16"/>
          <w:szCs w:val="16"/>
        </w:rPr>
        <w:fldChar w:fldCharType="begin"/>
      </w:r>
      <w:r>
        <w:rPr>
          <w:color w:val="000000"/>
          <w:sz w:val="16"/>
          <w:szCs w:val="16"/>
        </w:rPr>
        <w:instrText xml:space="preserve">HYPERLINK "#co_footnote_B00552041287330_1" </w:instrText>
      </w:r>
      <w:r w:rsidR="00F61700">
        <w:rPr>
          <w:color w:val="000000"/>
          <w:sz w:val="16"/>
          <w:szCs w:val="16"/>
        </w:rPr>
      </w:r>
      <w:r>
        <w:rPr>
          <w:color w:val="000000"/>
          <w:sz w:val="16"/>
          <w:szCs w:val="16"/>
        </w:rPr>
        <w:fldChar w:fldCharType="separate"/>
      </w:r>
      <w:r>
        <w:rPr>
          <w:color w:val="000000"/>
          <w:sz w:val="16"/>
          <w:szCs w:val="16"/>
          <w:vertAlign w:val="superscript"/>
        </w:rPr>
        <w:t>54</w:t>
      </w:r>
      <w:r>
        <w:rPr>
          <w:color w:val="000000"/>
          <w:sz w:val="16"/>
          <w:szCs w:val="16"/>
        </w:rPr>
        <w:fldChar w:fldCharType="end"/>
      </w:r>
      <w:r>
        <w:rPr>
          <w:color w:val="000000"/>
        </w:rPr>
        <w:t xml:space="preserve"> It reiterated that it was still “not clear if bisphosphonates are the cause,” but </w:t>
      </w:r>
      <w:proofErr w:type="gramStart"/>
      <w:r>
        <w:rPr>
          <w:color w:val="000000"/>
        </w:rPr>
        <w:t>noted that</w:t>
      </w:r>
      <w:proofErr w:type="gramEnd"/>
      <w:r>
        <w:rPr>
          <w:color w:val="000000"/>
        </w:rPr>
        <w:t xml:space="preserve"> “these unusual femur fractures have been predominantly reported in patients taking bisphosphonates.”</w:t>
      </w:r>
      <w:bookmarkStart w:id="109" w:name="co_footnoteReference_B00562041287330_ID0"/>
      <w:bookmarkEnd w:id="109"/>
      <w:r>
        <w:rPr>
          <w:color w:val="000000"/>
          <w:sz w:val="16"/>
          <w:szCs w:val="16"/>
        </w:rPr>
        <w:fldChar w:fldCharType="begin"/>
      </w:r>
      <w:r>
        <w:rPr>
          <w:color w:val="000000"/>
          <w:sz w:val="16"/>
          <w:szCs w:val="16"/>
        </w:rPr>
        <w:instrText xml:space="preserve">HYPERLINK "#co_footnote_B00562041287330_1" </w:instrText>
      </w:r>
      <w:r w:rsidR="00F61700">
        <w:rPr>
          <w:color w:val="000000"/>
          <w:sz w:val="16"/>
          <w:szCs w:val="16"/>
        </w:rPr>
      </w:r>
      <w:r>
        <w:rPr>
          <w:color w:val="000000"/>
          <w:sz w:val="16"/>
          <w:szCs w:val="16"/>
        </w:rPr>
        <w:fldChar w:fldCharType="separate"/>
      </w:r>
      <w:r>
        <w:rPr>
          <w:color w:val="000000"/>
          <w:sz w:val="16"/>
          <w:szCs w:val="16"/>
          <w:vertAlign w:val="superscript"/>
        </w:rPr>
        <w:t>55</w:t>
      </w:r>
      <w:r>
        <w:rPr>
          <w:color w:val="000000"/>
          <w:sz w:val="16"/>
          <w:szCs w:val="16"/>
        </w:rPr>
        <w:fldChar w:fldCharType="end"/>
      </w:r>
      <w:r>
        <w:rPr>
          <w:color w:val="000000"/>
        </w:rPr>
        <w:t xml:space="preserve"> In a conference call accompanying the announcement, the FDA’s Deputy Director of the Office of New Drugs stated that the task force report made the FDA “confident” that atypical femur fractures are “potentially more closely related to” long-term use of bisphosphonates “than [the FDA] previously had evidence for.”</w:t>
      </w:r>
      <w:bookmarkStart w:id="110" w:name="co_footnoteReference_B00572041287330_ID0"/>
      <w:bookmarkEnd w:id="110"/>
      <w:r>
        <w:rPr>
          <w:color w:val="000000"/>
          <w:sz w:val="16"/>
          <w:szCs w:val="16"/>
        </w:rPr>
        <w:fldChar w:fldCharType="begin"/>
      </w:r>
      <w:r>
        <w:rPr>
          <w:color w:val="000000"/>
          <w:sz w:val="16"/>
          <w:szCs w:val="16"/>
        </w:rPr>
        <w:instrText xml:space="preserve">HYPERLINK "#co_footnote_B00572041287330_1" </w:instrText>
      </w:r>
      <w:r w:rsidR="00F61700">
        <w:rPr>
          <w:color w:val="000000"/>
          <w:sz w:val="16"/>
          <w:szCs w:val="16"/>
        </w:rPr>
      </w:r>
      <w:r>
        <w:rPr>
          <w:color w:val="000000"/>
          <w:sz w:val="16"/>
          <w:szCs w:val="16"/>
        </w:rPr>
        <w:fldChar w:fldCharType="separate"/>
      </w:r>
      <w:r>
        <w:rPr>
          <w:color w:val="000000"/>
          <w:sz w:val="16"/>
          <w:szCs w:val="16"/>
          <w:vertAlign w:val="superscript"/>
        </w:rPr>
        <w:t>56</w:t>
      </w:r>
      <w:r>
        <w:rPr>
          <w:color w:val="000000"/>
          <w:sz w:val="16"/>
          <w:szCs w:val="16"/>
        </w:rPr>
        <w:fldChar w:fldCharType="end"/>
      </w:r>
    </w:p>
    <w:p w14:paraId="5A965CE0"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39DC7E52" w14:textId="77777777">
        <w:tblPrEx>
          <w:tblCellMar>
            <w:top w:w="0" w:type="dxa"/>
            <w:left w:w="0" w:type="dxa"/>
            <w:bottom w:w="0" w:type="dxa"/>
            <w:right w:w="0" w:type="dxa"/>
          </w:tblCellMar>
        </w:tblPrEx>
        <w:tc>
          <w:tcPr>
            <w:tcW w:w="600" w:type="dxa"/>
            <w:tcBorders>
              <w:top w:val="nil"/>
              <w:left w:val="nil"/>
              <w:bottom w:val="nil"/>
              <w:right w:val="nil"/>
            </w:tcBorders>
          </w:tcPr>
          <w:bookmarkStart w:id="111" w:name="co_footnote_B00552041287330_1"/>
          <w:bookmarkEnd w:id="111"/>
          <w:p w14:paraId="5575F08A"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"#co_footnoteReference_B00552041287330_ID0" </w:instrText>
            </w:r>
            <w:r w:rsidR="00F61700">
              <w:rPr>
                <w:color w:val="000000"/>
              </w:rPr>
            </w:r>
            <w:r>
              <w:rPr>
                <w:color w:val="000000"/>
              </w:rPr>
              <w:fldChar w:fldCharType="separate"/>
            </w:r>
            <w:r>
              <w:rPr>
                <w:color w:val="000000"/>
                <w:vertAlign w:val="superscript"/>
              </w:rPr>
              <w:t>54</w:t>
            </w:r>
            <w:r>
              <w:rPr>
                <w:color w:val="000000"/>
              </w:rPr>
              <w:fldChar w:fldCharType="end"/>
            </w:r>
          </w:p>
          <w:p w14:paraId="2899BEF1"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2D3EF11A" w14:textId="77777777" w:rsidR="00793DC4" w:rsidRDefault="00793DC4">
            <w:pPr>
              <w:widowControl w:val="0"/>
              <w:autoSpaceDE w:val="0"/>
              <w:autoSpaceDN w:val="0"/>
              <w:adjustRightInd w:val="0"/>
              <w:jc w:val="both"/>
              <w:rPr>
                <w:color w:val="000000"/>
                <w:sz w:val="18"/>
                <w:szCs w:val="18"/>
              </w:rPr>
            </w:pPr>
            <w:proofErr w:type="gramStart"/>
            <w:r>
              <w:rPr>
                <w:color w:val="000000"/>
                <w:sz w:val="18"/>
                <w:szCs w:val="18"/>
              </w:rPr>
              <w:t>A</w:t>
            </w:r>
            <w:proofErr w:type="gramEnd"/>
            <w:r>
              <w:rPr>
                <w:color w:val="000000"/>
                <w:sz w:val="18"/>
                <w:szCs w:val="18"/>
              </w:rPr>
              <w:t xml:space="preserve"> 1118. The FDA also announced that it would require a new Limitations of Use statement in the Indications and Usage section of the labels to “describe the uncertainty of the optimal duration of use of bisphosphonates for the treatment and/or prevention of </w:t>
            </w:r>
            <w:hyperlink r:id="rId158" w:history="1">
              <w:r>
                <w:rPr>
                  <w:color w:val="000000"/>
                  <w:sz w:val="18"/>
                  <w:szCs w:val="18"/>
                </w:rPr>
                <w:t>osteoporosis</w:t>
              </w:r>
            </w:hyperlink>
            <w:r>
              <w:rPr>
                <w:color w:val="000000"/>
                <w:sz w:val="18"/>
                <w:szCs w:val="18"/>
              </w:rPr>
              <w:t xml:space="preserve">.” </w:t>
            </w:r>
            <w:hyperlink r:id="rId159" w:history="1">
              <w:r>
                <w:rPr>
                  <w:i/>
                  <w:iCs/>
                  <w:color w:val="000000"/>
                  <w:sz w:val="18"/>
                  <w:szCs w:val="18"/>
                </w:rPr>
                <w:t>Id</w:t>
              </w:r>
              <w:r>
                <w:rPr>
                  <w:color w:val="000000"/>
                  <w:sz w:val="18"/>
                  <w:szCs w:val="18"/>
                </w:rPr>
                <w:t>.</w:t>
              </w:r>
            </w:hyperlink>
          </w:p>
          <w:p w14:paraId="62B44C35" w14:textId="77777777" w:rsidR="00793DC4" w:rsidRDefault="00793DC4">
            <w:pPr>
              <w:widowControl w:val="0"/>
              <w:autoSpaceDE w:val="0"/>
              <w:autoSpaceDN w:val="0"/>
              <w:adjustRightInd w:val="0"/>
              <w:jc w:val="both"/>
              <w:rPr>
                <w:color w:val="000000"/>
                <w:sz w:val="18"/>
                <w:szCs w:val="18"/>
              </w:rPr>
            </w:pPr>
          </w:p>
        </w:tc>
      </w:tr>
    </w:tbl>
    <w:p w14:paraId="5AE6ED4C"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20B54979" w14:textId="77777777">
        <w:tblPrEx>
          <w:tblCellMar>
            <w:top w:w="0" w:type="dxa"/>
            <w:left w:w="0" w:type="dxa"/>
            <w:bottom w:w="0" w:type="dxa"/>
            <w:right w:w="0" w:type="dxa"/>
          </w:tblCellMar>
        </w:tblPrEx>
        <w:tc>
          <w:tcPr>
            <w:tcW w:w="600" w:type="dxa"/>
            <w:tcBorders>
              <w:top w:val="nil"/>
              <w:left w:val="nil"/>
              <w:bottom w:val="nil"/>
              <w:right w:val="nil"/>
            </w:tcBorders>
          </w:tcPr>
          <w:bookmarkStart w:id="112" w:name="co_footnote_B00562041287330_1"/>
          <w:bookmarkEnd w:id="112"/>
          <w:p w14:paraId="682A70D2"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"#co_footnoteReference_B00562041287330_ID0" </w:instrText>
            </w:r>
            <w:r w:rsidR="00F61700">
              <w:rPr>
                <w:color w:val="000000"/>
              </w:rPr>
            </w:r>
            <w:r>
              <w:rPr>
                <w:color w:val="000000"/>
              </w:rPr>
              <w:fldChar w:fldCharType="separate"/>
            </w:r>
            <w:r>
              <w:rPr>
                <w:color w:val="000000"/>
                <w:vertAlign w:val="superscript"/>
              </w:rPr>
              <w:t>55</w:t>
            </w:r>
            <w:r>
              <w:rPr>
                <w:color w:val="000000"/>
              </w:rPr>
              <w:fldChar w:fldCharType="end"/>
            </w:r>
          </w:p>
          <w:p w14:paraId="3F371DED"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4083EDAE" w14:textId="77777777" w:rsidR="00793DC4" w:rsidRDefault="00793DC4">
            <w:pPr>
              <w:widowControl w:val="0"/>
              <w:autoSpaceDE w:val="0"/>
              <w:autoSpaceDN w:val="0"/>
              <w:adjustRightInd w:val="0"/>
              <w:jc w:val="both"/>
              <w:rPr>
                <w:color w:val="000000"/>
                <w:sz w:val="18"/>
                <w:szCs w:val="18"/>
              </w:rPr>
            </w:pPr>
            <w:hyperlink r:id="rId160" w:history="1">
              <w:r>
                <w:rPr>
                  <w:i/>
                  <w:iCs/>
                  <w:color w:val="000000"/>
                  <w:sz w:val="18"/>
                  <w:szCs w:val="18"/>
                </w:rPr>
                <w:t>Id</w:t>
              </w:r>
              <w:r>
                <w:rPr>
                  <w:color w:val="000000"/>
                  <w:sz w:val="18"/>
                  <w:szCs w:val="18"/>
                </w:rPr>
                <w:t>.</w:t>
              </w:r>
            </w:hyperlink>
          </w:p>
          <w:p w14:paraId="20420B39" w14:textId="77777777" w:rsidR="00793DC4" w:rsidRDefault="00793DC4">
            <w:pPr>
              <w:widowControl w:val="0"/>
              <w:autoSpaceDE w:val="0"/>
              <w:autoSpaceDN w:val="0"/>
              <w:adjustRightInd w:val="0"/>
              <w:jc w:val="both"/>
              <w:rPr>
                <w:color w:val="000000"/>
                <w:sz w:val="18"/>
                <w:szCs w:val="18"/>
              </w:rPr>
            </w:pPr>
          </w:p>
        </w:tc>
      </w:tr>
    </w:tbl>
    <w:p w14:paraId="65D07089"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35F24B2B" w14:textId="77777777">
        <w:tblPrEx>
          <w:tblCellMar>
            <w:top w:w="0" w:type="dxa"/>
            <w:left w:w="0" w:type="dxa"/>
            <w:bottom w:w="0" w:type="dxa"/>
            <w:right w:w="0" w:type="dxa"/>
          </w:tblCellMar>
        </w:tblPrEx>
        <w:tc>
          <w:tcPr>
            <w:tcW w:w="600" w:type="dxa"/>
            <w:tcBorders>
              <w:top w:val="nil"/>
              <w:left w:val="nil"/>
              <w:bottom w:val="nil"/>
              <w:right w:val="nil"/>
            </w:tcBorders>
          </w:tcPr>
          <w:bookmarkStart w:id="113" w:name="co_footnote_B00572041287330_1"/>
          <w:bookmarkEnd w:id="113"/>
          <w:p w14:paraId="087A1FD9"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"#co_footnoteReference_B00572041287330_ID0" </w:instrText>
            </w:r>
            <w:r w:rsidR="00F61700">
              <w:rPr>
                <w:color w:val="000000"/>
              </w:rPr>
            </w:r>
            <w:r>
              <w:rPr>
                <w:color w:val="000000"/>
              </w:rPr>
              <w:fldChar w:fldCharType="separate"/>
            </w:r>
            <w:r>
              <w:rPr>
                <w:color w:val="000000"/>
                <w:vertAlign w:val="superscript"/>
              </w:rPr>
              <w:t>56</w:t>
            </w:r>
            <w:r>
              <w:rPr>
                <w:color w:val="000000"/>
              </w:rPr>
              <w:fldChar w:fldCharType="end"/>
            </w:r>
          </w:p>
          <w:p w14:paraId="502486C5"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24532396" w14:textId="77777777" w:rsidR="00793DC4" w:rsidRDefault="00793DC4">
            <w:pPr>
              <w:widowControl w:val="0"/>
              <w:autoSpaceDE w:val="0"/>
              <w:autoSpaceDN w:val="0"/>
              <w:adjustRightInd w:val="0"/>
              <w:jc w:val="both"/>
              <w:rPr>
                <w:color w:val="000000"/>
                <w:sz w:val="18"/>
                <w:szCs w:val="18"/>
              </w:rPr>
            </w:pPr>
            <w:r>
              <w:rPr>
                <w:color w:val="000000"/>
                <w:sz w:val="18"/>
                <w:szCs w:val="18"/>
              </w:rPr>
              <w:t>A 1396.</w:t>
            </w:r>
          </w:p>
          <w:p w14:paraId="2488FA2D" w14:textId="77777777" w:rsidR="00793DC4" w:rsidRDefault="00793DC4">
            <w:pPr>
              <w:widowControl w:val="0"/>
              <w:autoSpaceDE w:val="0"/>
              <w:autoSpaceDN w:val="0"/>
              <w:adjustRightInd w:val="0"/>
              <w:jc w:val="both"/>
              <w:rPr>
                <w:color w:val="000000"/>
                <w:sz w:val="18"/>
                <w:szCs w:val="18"/>
              </w:rPr>
            </w:pPr>
          </w:p>
        </w:tc>
      </w:tr>
    </w:tbl>
    <w:p w14:paraId="2B3A7AA7" w14:textId="77777777" w:rsidR="00793DC4" w:rsidRDefault="00793DC4">
      <w:pPr>
        <w:widowControl w:val="0"/>
        <w:autoSpaceDE w:val="0"/>
        <w:autoSpaceDN w:val="0"/>
        <w:adjustRightInd w:val="0"/>
        <w:jc w:val="both"/>
        <w:rPr>
          <w:color w:val="000000"/>
        </w:rPr>
      </w:pPr>
    </w:p>
    <w:p w14:paraId="7D801DD3" w14:textId="77777777" w:rsidR="00793DC4" w:rsidRDefault="00793DC4">
      <w:pPr>
        <w:widowControl w:val="0"/>
        <w:autoSpaceDE w:val="0"/>
        <w:autoSpaceDN w:val="0"/>
        <w:adjustRightInd w:val="0"/>
        <w:jc w:val="both"/>
        <w:rPr>
          <w:color w:val="000000"/>
        </w:rPr>
      </w:pPr>
      <w:r>
        <w:rPr>
          <w:color w:val="000000"/>
        </w:rPr>
        <w:t xml:space="preserve">The same day, the FDA wrote to Merck requesting that Merck add the following language to the Warnings and Precautions section of the </w:t>
      </w:r>
      <w:hyperlink r:id="rId161" w:history="1">
        <w:r>
          <w:rPr>
            <w:color w:val="000000"/>
          </w:rPr>
          <w:t>Fosamax</w:t>
        </w:r>
      </w:hyperlink>
      <w:r>
        <w:rPr>
          <w:color w:val="000000"/>
        </w:rPr>
        <w:t xml:space="preserve"> label:</w:t>
      </w:r>
    </w:p>
    <w:p w14:paraId="37051A98" w14:textId="77777777" w:rsidR="00793DC4" w:rsidRDefault="00793DC4">
      <w:pPr>
        <w:widowControl w:val="0"/>
        <w:autoSpaceDE w:val="0"/>
        <w:autoSpaceDN w:val="0"/>
        <w:adjustRightInd w:val="0"/>
        <w:spacing w:before="200"/>
        <w:ind w:left="200"/>
        <w:jc w:val="both"/>
        <w:rPr>
          <w:color w:val="000000"/>
          <w:u w:val="single"/>
        </w:rPr>
      </w:pPr>
      <w:r>
        <w:rPr>
          <w:color w:val="000000"/>
          <w:u w:val="single"/>
        </w:rPr>
        <w:t xml:space="preserve">Atypical </w:t>
      </w:r>
      <w:proofErr w:type="spellStart"/>
      <w:r>
        <w:rPr>
          <w:color w:val="000000"/>
          <w:u w:val="single"/>
        </w:rPr>
        <w:t>Subtrochanteric</w:t>
      </w:r>
      <w:proofErr w:type="spellEnd"/>
      <w:r>
        <w:rPr>
          <w:color w:val="000000"/>
          <w:u w:val="single"/>
        </w:rPr>
        <w:t xml:space="preserve"> and </w:t>
      </w:r>
      <w:proofErr w:type="spellStart"/>
      <w:r>
        <w:rPr>
          <w:color w:val="000000"/>
          <w:u w:val="single"/>
        </w:rPr>
        <w:t>Diaphyseal</w:t>
      </w:r>
      <w:proofErr w:type="spellEnd"/>
      <w:r>
        <w:rPr>
          <w:color w:val="000000"/>
          <w:u w:val="single"/>
        </w:rPr>
        <w:t xml:space="preserve"> </w:t>
      </w:r>
      <w:hyperlink r:id="rId162" w:history="1">
        <w:r>
          <w:rPr>
            <w:color w:val="000000"/>
            <w:u w:val="single"/>
          </w:rPr>
          <w:t>Femoral Fractures</w:t>
        </w:r>
      </w:hyperlink>
      <w:r>
        <w:rPr>
          <w:color w:val="000000"/>
          <w:u w:val="single"/>
        </w:rPr>
        <w:t>:</w:t>
      </w:r>
    </w:p>
    <w:p w14:paraId="59DA0545" w14:textId="77777777" w:rsidR="00793DC4" w:rsidRDefault="00793DC4">
      <w:pPr>
        <w:widowControl w:val="0"/>
        <w:autoSpaceDE w:val="0"/>
        <w:autoSpaceDN w:val="0"/>
        <w:adjustRightInd w:val="0"/>
        <w:spacing w:before="200"/>
        <w:ind w:left="200"/>
        <w:jc w:val="both"/>
        <w:rPr>
          <w:color w:val="000000"/>
        </w:rPr>
      </w:pPr>
      <w:r>
        <w:rPr>
          <w:color w:val="000000"/>
        </w:rPr>
        <w:t xml:space="preserve">Atypical, low-energy, or low trauma </w:t>
      </w:r>
      <w:hyperlink r:id="rId163" w:history="1">
        <w:r>
          <w:rPr>
            <w:color w:val="000000"/>
          </w:rPr>
          <w:t>fractures of the femoral shaft</w:t>
        </w:r>
      </w:hyperlink>
      <w:r>
        <w:rPr>
          <w:color w:val="000000"/>
        </w:rPr>
        <w:t xml:space="preserve"> have been reported in bisphosphonate-treated patients. These fractures can occur anywhere in the femoral shaft from just below the lesser trochanter to above the supracondylar flare and are transverse or short oblique in orientation without evidence of </w:t>
      </w:r>
      <w:proofErr w:type="spellStart"/>
      <w:r>
        <w:rPr>
          <w:color w:val="000000"/>
        </w:rPr>
        <w:t>comminution</w:t>
      </w:r>
      <w:proofErr w:type="spellEnd"/>
      <w:r>
        <w:rPr>
          <w:color w:val="000000"/>
        </w:rPr>
        <w:t xml:space="preserve">. Causality has not been established as these fractures also occur in osteoporotic patients who </w:t>
      </w:r>
      <w:r>
        <w:rPr>
          <w:b/>
          <w:bCs/>
          <w:color w:val="000000"/>
        </w:rPr>
        <w:t>*279</w:t>
      </w:r>
      <w:r>
        <w:rPr>
          <w:color w:val="000000"/>
        </w:rPr>
        <w:t xml:space="preserve"> have not been treated with bisphosphonates.</w:t>
      </w:r>
    </w:p>
    <w:p w14:paraId="1C090FEB" w14:textId="77777777" w:rsidR="00793DC4" w:rsidRDefault="00793DC4">
      <w:pPr>
        <w:widowControl w:val="0"/>
        <w:autoSpaceDE w:val="0"/>
        <w:autoSpaceDN w:val="0"/>
        <w:adjustRightInd w:val="0"/>
        <w:spacing w:before="200"/>
        <w:ind w:left="200"/>
        <w:jc w:val="both"/>
        <w:rPr>
          <w:color w:val="000000"/>
        </w:rPr>
      </w:pPr>
      <w:r>
        <w:rPr>
          <w:color w:val="000000"/>
        </w:rPr>
        <w:t xml:space="preserve">Atypical femur fractures most commonly occur with minimal or no impact to the affected area. They may be bilateral and many patients report prodromal pain in the affected area, usually presenting as dull, aching thigh pain, weeks to months before a complete fracture occurs. A number of reports note that patients were also receiving treatment with glucocorticoids (e.g. </w:t>
      </w:r>
      <w:hyperlink r:id="rId164" w:history="1">
        <w:r>
          <w:rPr>
            <w:color w:val="000000"/>
          </w:rPr>
          <w:t>prednisone</w:t>
        </w:r>
      </w:hyperlink>
      <w:r>
        <w:rPr>
          <w:color w:val="000000"/>
        </w:rPr>
        <w:t>) at the time of fracture.</w:t>
      </w:r>
    </w:p>
    <w:p w14:paraId="22B47AC5" w14:textId="77777777" w:rsidR="00793DC4" w:rsidRDefault="00793DC4">
      <w:pPr>
        <w:widowControl w:val="0"/>
        <w:autoSpaceDE w:val="0"/>
        <w:autoSpaceDN w:val="0"/>
        <w:adjustRightInd w:val="0"/>
        <w:ind w:left="200"/>
        <w:jc w:val="both"/>
        <w:rPr>
          <w:color w:val="000000"/>
          <w:sz w:val="16"/>
          <w:szCs w:val="16"/>
        </w:rPr>
      </w:pPr>
      <w:r>
        <w:rPr>
          <w:color w:val="000000"/>
        </w:rPr>
        <w:t>Any patient with a history of bisphosphonate exposure who presents with thigh or groin pain should be suspected of having an atypical fracture and should be evaluated to rule out a femur fracture. Subjects presenting with an atypical fracture should also be assessed for symptoms and signs of fracture in the contralateral limb. Interruption of bisphosphonate therapy should be considered, pending a risk/benefit assessment, on an individual basis.</w:t>
      </w:r>
      <w:bookmarkStart w:id="114" w:name="co_footnoteReference_B00582041287330_ID0"/>
      <w:bookmarkEnd w:id="114"/>
      <w:r>
        <w:rPr>
          <w:color w:val="000000"/>
          <w:sz w:val="16"/>
          <w:szCs w:val="16"/>
        </w:rPr>
        <w:fldChar w:fldCharType="begin"/>
      </w:r>
      <w:r>
        <w:rPr>
          <w:color w:val="000000"/>
          <w:sz w:val="16"/>
          <w:szCs w:val="16"/>
        </w:rPr>
        <w:instrText xml:space="preserve">HYPERLINK "#co_footnote_B00582041287330_1" </w:instrText>
      </w:r>
      <w:r w:rsidR="00F61700">
        <w:rPr>
          <w:color w:val="000000"/>
          <w:sz w:val="16"/>
          <w:szCs w:val="16"/>
        </w:rPr>
      </w:r>
      <w:r>
        <w:rPr>
          <w:color w:val="000000"/>
          <w:sz w:val="16"/>
          <w:szCs w:val="16"/>
        </w:rPr>
        <w:fldChar w:fldCharType="separate"/>
      </w:r>
      <w:r>
        <w:rPr>
          <w:color w:val="000000"/>
          <w:sz w:val="16"/>
          <w:szCs w:val="16"/>
          <w:vertAlign w:val="superscript"/>
        </w:rPr>
        <w:t>57</w:t>
      </w:r>
      <w:r>
        <w:rPr>
          <w:color w:val="000000"/>
          <w:sz w:val="16"/>
          <w:szCs w:val="16"/>
        </w:rPr>
        <w:fldChar w:fldCharType="end"/>
      </w:r>
    </w:p>
    <w:p w14:paraId="00D6AD97"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46D24712" w14:textId="77777777">
        <w:tblPrEx>
          <w:tblCellMar>
            <w:top w:w="0" w:type="dxa"/>
            <w:left w:w="0" w:type="dxa"/>
            <w:bottom w:w="0" w:type="dxa"/>
            <w:right w:w="0" w:type="dxa"/>
          </w:tblCellMar>
        </w:tblPrEx>
        <w:tc>
          <w:tcPr>
            <w:tcW w:w="600" w:type="dxa"/>
            <w:tcBorders>
              <w:top w:val="nil"/>
              <w:left w:val="nil"/>
              <w:bottom w:val="nil"/>
              <w:right w:val="nil"/>
            </w:tcBorders>
          </w:tcPr>
          <w:bookmarkStart w:id="115" w:name="co_footnote_B00582041287330_1"/>
          <w:bookmarkEnd w:id="115"/>
          <w:p w14:paraId="46CE1B0C"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"#co_footnoteReference_B00582041287330_ID0" </w:instrText>
            </w:r>
            <w:r w:rsidR="00F61700">
              <w:rPr>
                <w:color w:val="000000"/>
              </w:rPr>
            </w:r>
            <w:r>
              <w:rPr>
                <w:color w:val="000000"/>
              </w:rPr>
              <w:fldChar w:fldCharType="separate"/>
            </w:r>
            <w:r>
              <w:rPr>
                <w:color w:val="000000"/>
                <w:vertAlign w:val="superscript"/>
              </w:rPr>
              <w:t>57</w:t>
            </w:r>
            <w:r>
              <w:rPr>
                <w:color w:val="000000"/>
              </w:rPr>
              <w:fldChar w:fldCharType="end"/>
            </w:r>
          </w:p>
          <w:p w14:paraId="6BF0871B"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057C03C2" w14:textId="77777777" w:rsidR="00793DC4" w:rsidRDefault="00793DC4">
            <w:pPr>
              <w:widowControl w:val="0"/>
              <w:autoSpaceDE w:val="0"/>
              <w:autoSpaceDN w:val="0"/>
              <w:adjustRightInd w:val="0"/>
              <w:jc w:val="both"/>
              <w:rPr>
                <w:color w:val="000000"/>
                <w:sz w:val="18"/>
                <w:szCs w:val="18"/>
              </w:rPr>
            </w:pPr>
            <w:r>
              <w:rPr>
                <w:color w:val="000000"/>
                <w:sz w:val="18"/>
                <w:szCs w:val="18"/>
              </w:rPr>
              <w:t>A 1516-17.</w:t>
            </w:r>
          </w:p>
          <w:p w14:paraId="01A8E127" w14:textId="77777777" w:rsidR="00793DC4" w:rsidRDefault="00793DC4">
            <w:pPr>
              <w:widowControl w:val="0"/>
              <w:autoSpaceDE w:val="0"/>
              <w:autoSpaceDN w:val="0"/>
              <w:adjustRightInd w:val="0"/>
              <w:jc w:val="both"/>
              <w:rPr>
                <w:color w:val="000000"/>
                <w:sz w:val="18"/>
                <w:szCs w:val="18"/>
              </w:rPr>
            </w:pPr>
          </w:p>
        </w:tc>
      </w:tr>
    </w:tbl>
    <w:p w14:paraId="0BFD5655" w14:textId="77777777" w:rsidR="00793DC4" w:rsidRDefault="00793DC4">
      <w:pPr>
        <w:widowControl w:val="0"/>
        <w:autoSpaceDE w:val="0"/>
        <w:autoSpaceDN w:val="0"/>
        <w:adjustRightInd w:val="0"/>
        <w:jc w:val="both"/>
        <w:rPr>
          <w:color w:val="000000"/>
        </w:rPr>
      </w:pPr>
    </w:p>
    <w:p w14:paraId="10E5C330" w14:textId="77777777" w:rsidR="00793DC4" w:rsidRDefault="00793DC4">
      <w:pPr>
        <w:widowControl w:val="0"/>
        <w:autoSpaceDE w:val="0"/>
        <w:autoSpaceDN w:val="0"/>
        <w:adjustRightInd w:val="0"/>
        <w:jc w:val="both"/>
        <w:rPr>
          <w:color w:val="000000"/>
        </w:rPr>
      </w:pPr>
      <w:r>
        <w:rPr>
          <w:color w:val="000000"/>
        </w:rPr>
        <w:t xml:space="preserve">Merck responded by proposing additional language that, according to Merck, was intended to make clear that doctors should attempt to rule out </w:t>
      </w:r>
      <w:hyperlink r:id="rId165" w:history="1">
        <w:r>
          <w:rPr>
            <w:color w:val="000000"/>
          </w:rPr>
          <w:t>stress fractures</w:t>
        </w:r>
      </w:hyperlink>
      <w:r>
        <w:rPr>
          <w:color w:val="000000"/>
        </w:rPr>
        <w:t>. The proposal contained five specific references to “</w:t>
      </w:r>
      <w:hyperlink r:id="rId166" w:history="1">
        <w:r>
          <w:rPr>
            <w:color w:val="000000"/>
          </w:rPr>
          <w:t>stress fractures</w:t>
        </w:r>
      </w:hyperlink>
      <w:r>
        <w:rPr>
          <w:color w:val="000000"/>
        </w:rPr>
        <w:t>.” The FDA responded to this proposal by eliminating every instance of the phrase “</w:t>
      </w:r>
      <w:hyperlink r:id="rId167" w:history="1">
        <w:r>
          <w:rPr>
            <w:color w:val="000000"/>
          </w:rPr>
          <w:t>stress fractures</w:t>
        </w:r>
      </w:hyperlink>
      <w:r>
        <w:rPr>
          <w:color w:val="000000"/>
        </w:rPr>
        <w:t xml:space="preserve">.” In rejecting Merck’s proposal, the FDA </w:t>
      </w:r>
      <w:proofErr w:type="gramStart"/>
      <w:r>
        <w:rPr>
          <w:color w:val="000000"/>
        </w:rPr>
        <w:t>explained that</w:t>
      </w:r>
      <w:proofErr w:type="gramEnd"/>
      <w:r>
        <w:rPr>
          <w:color w:val="000000"/>
        </w:rPr>
        <w:t xml:space="preserve"> “the term ‘</w:t>
      </w:r>
      <w:hyperlink r:id="rId168" w:history="1">
        <w:r>
          <w:rPr>
            <w:color w:val="000000"/>
          </w:rPr>
          <w:t>stress fracture</w:t>
        </w:r>
      </w:hyperlink>
      <w:r>
        <w:rPr>
          <w:color w:val="000000"/>
        </w:rPr>
        <w:t>’ was considered and not accepted. The Division believes that for most practitioners, the term ‘</w:t>
      </w:r>
      <w:hyperlink r:id="rId169" w:history="1">
        <w:r>
          <w:rPr>
            <w:color w:val="000000"/>
          </w:rPr>
          <w:t>stress fracture</w:t>
        </w:r>
      </w:hyperlink>
      <w:r>
        <w:rPr>
          <w:color w:val="000000"/>
        </w:rPr>
        <w:t xml:space="preserve">’ represents a minor fracture and this would contradict the seriousness of the atypical </w:t>
      </w:r>
      <w:hyperlink r:id="rId170" w:history="1">
        <w:r>
          <w:rPr>
            <w:color w:val="000000"/>
          </w:rPr>
          <w:t>femoral fractures</w:t>
        </w:r>
      </w:hyperlink>
      <w:r>
        <w:rPr>
          <w:color w:val="000000"/>
        </w:rPr>
        <w:t xml:space="preserve"> associated with bisphosphonate use.”</w:t>
      </w:r>
      <w:bookmarkStart w:id="116" w:name="co_footnoteReference_B00592041287330_ID0"/>
      <w:bookmarkEnd w:id="116"/>
      <w:r>
        <w:rPr>
          <w:color w:val="000000"/>
          <w:sz w:val="16"/>
          <w:szCs w:val="16"/>
        </w:rPr>
        <w:fldChar w:fldCharType="begin"/>
      </w:r>
      <w:r>
        <w:rPr>
          <w:color w:val="000000"/>
          <w:sz w:val="16"/>
          <w:szCs w:val="16"/>
        </w:rPr>
        <w:instrText xml:space="preserve">HYPERLINK "#co_footnote_B00592041287330_1" </w:instrText>
      </w:r>
      <w:r w:rsidR="00F61700">
        <w:rPr>
          <w:color w:val="000000"/>
          <w:sz w:val="16"/>
          <w:szCs w:val="16"/>
        </w:rPr>
      </w:r>
      <w:r>
        <w:rPr>
          <w:color w:val="000000"/>
          <w:sz w:val="16"/>
          <w:szCs w:val="16"/>
        </w:rPr>
        <w:fldChar w:fldCharType="separate"/>
      </w:r>
      <w:r>
        <w:rPr>
          <w:color w:val="000000"/>
          <w:sz w:val="16"/>
          <w:szCs w:val="16"/>
          <w:vertAlign w:val="superscript"/>
        </w:rPr>
        <w:t>58</w:t>
      </w:r>
      <w:r>
        <w:rPr>
          <w:color w:val="000000"/>
          <w:sz w:val="16"/>
          <w:szCs w:val="16"/>
        </w:rPr>
        <w:fldChar w:fldCharType="end"/>
      </w:r>
      <w:r>
        <w:rPr>
          <w:color w:val="000000"/>
        </w:rPr>
        <w:t xml:space="preserve"> The FDA subsequently approved language nearly identical to its original October 2010 proposal. That language was added to the </w:t>
      </w:r>
      <w:hyperlink r:id="rId171" w:history="1">
        <w:r>
          <w:rPr>
            <w:color w:val="000000"/>
          </w:rPr>
          <w:t>Fosamax</w:t>
        </w:r>
      </w:hyperlink>
      <w:r>
        <w:rPr>
          <w:color w:val="000000"/>
        </w:rPr>
        <w:t xml:space="preserve"> label in January 2011 and has remained there since.</w:t>
      </w:r>
    </w:p>
    <w:p w14:paraId="597DC6C7"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31BAAA13" w14:textId="77777777">
        <w:tblPrEx>
          <w:tblCellMar>
            <w:top w:w="0" w:type="dxa"/>
            <w:left w:w="0" w:type="dxa"/>
            <w:bottom w:w="0" w:type="dxa"/>
            <w:right w:w="0" w:type="dxa"/>
          </w:tblCellMar>
        </w:tblPrEx>
        <w:tc>
          <w:tcPr>
            <w:tcW w:w="600" w:type="dxa"/>
            <w:tcBorders>
              <w:top w:val="nil"/>
              <w:left w:val="nil"/>
              <w:bottom w:val="nil"/>
              <w:right w:val="nil"/>
            </w:tcBorders>
          </w:tcPr>
          <w:bookmarkStart w:id="117" w:name="co_footnote_B00592041287330_1"/>
          <w:bookmarkEnd w:id="117"/>
          <w:p w14:paraId="493F9EED"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"#co_footnoteReference_B00592041287330_ID0" </w:instrText>
            </w:r>
            <w:r w:rsidR="00F61700">
              <w:rPr>
                <w:color w:val="000000"/>
              </w:rPr>
            </w:r>
            <w:r>
              <w:rPr>
                <w:color w:val="000000"/>
              </w:rPr>
              <w:fldChar w:fldCharType="separate"/>
            </w:r>
            <w:r>
              <w:rPr>
                <w:color w:val="000000"/>
                <w:vertAlign w:val="superscript"/>
              </w:rPr>
              <w:t>58</w:t>
            </w:r>
            <w:r>
              <w:rPr>
                <w:color w:val="000000"/>
              </w:rPr>
              <w:fldChar w:fldCharType="end"/>
            </w:r>
          </w:p>
          <w:p w14:paraId="28C0D3C0"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08882493" w14:textId="77777777" w:rsidR="00793DC4" w:rsidRDefault="00793DC4">
            <w:pPr>
              <w:widowControl w:val="0"/>
              <w:autoSpaceDE w:val="0"/>
              <w:autoSpaceDN w:val="0"/>
              <w:adjustRightInd w:val="0"/>
              <w:jc w:val="both"/>
              <w:rPr>
                <w:color w:val="000000"/>
                <w:sz w:val="18"/>
                <w:szCs w:val="18"/>
              </w:rPr>
            </w:pPr>
            <w:r>
              <w:rPr>
                <w:color w:val="000000"/>
                <w:sz w:val="18"/>
                <w:szCs w:val="18"/>
              </w:rPr>
              <w:t>A 1540.</w:t>
            </w:r>
          </w:p>
          <w:p w14:paraId="69EFDB3D" w14:textId="77777777" w:rsidR="00793DC4" w:rsidRDefault="00793DC4">
            <w:pPr>
              <w:widowControl w:val="0"/>
              <w:autoSpaceDE w:val="0"/>
              <w:autoSpaceDN w:val="0"/>
              <w:adjustRightInd w:val="0"/>
              <w:jc w:val="both"/>
              <w:rPr>
                <w:color w:val="000000"/>
                <w:sz w:val="18"/>
                <w:szCs w:val="18"/>
              </w:rPr>
            </w:pPr>
          </w:p>
        </w:tc>
      </w:tr>
    </w:tbl>
    <w:p w14:paraId="611B587E" w14:textId="77777777" w:rsidR="00793DC4" w:rsidRDefault="00793DC4">
      <w:pPr>
        <w:widowControl w:val="0"/>
        <w:autoSpaceDE w:val="0"/>
        <w:autoSpaceDN w:val="0"/>
        <w:adjustRightInd w:val="0"/>
        <w:jc w:val="both"/>
        <w:rPr>
          <w:color w:val="000000"/>
        </w:rPr>
      </w:pPr>
    </w:p>
    <w:p w14:paraId="711EBF73" w14:textId="77777777" w:rsidR="00793DC4" w:rsidRDefault="00793DC4">
      <w:pPr>
        <w:widowControl w:val="0"/>
        <w:autoSpaceDE w:val="0"/>
        <w:autoSpaceDN w:val="0"/>
        <w:adjustRightInd w:val="0"/>
        <w:spacing w:before="400" w:after="200"/>
        <w:jc w:val="center"/>
        <w:rPr>
          <w:b/>
          <w:bCs/>
          <w:color w:val="000000"/>
        </w:rPr>
      </w:pPr>
      <w:r>
        <w:rPr>
          <w:b/>
          <w:bCs/>
          <w:color w:val="000000"/>
        </w:rPr>
        <w:t>D. Procedural History</w:t>
      </w:r>
    </w:p>
    <w:p w14:paraId="43A38B46" w14:textId="77777777" w:rsidR="00793DC4" w:rsidRDefault="00793DC4">
      <w:pPr>
        <w:widowControl w:val="0"/>
        <w:autoSpaceDE w:val="0"/>
        <w:autoSpaceDN w:val="0"/>
        <w:adjustRightInd w:val="0"/>
        <w:jc w:val="both"/>
        <w:rPr>
          <w:color w:val="000000"/>
        </w:rPr>
      </w:pPr>
      <w:r>
        <w:rPr>
          <w:color w:val="000000"/>
        </w:rPr>
        <w:t xml:space="preserve">After the label change, patients who had taken </w:t>
      </w:r>
      <w:hyperlink r:id="rId172" w:history="1">
        <w:r>
          <w:rPr>
            <w:color w:val="000000"/>
          </w:rPr>
          <w:t>Fosamax</w:t>
        </w:r>
      </w:hyperlink>
      <w:r>
        <w:rPr>
          <w:color w:val="000000"/>
        </w:rPr>
        <w:t xml:space="preserve"> and suffered atypical femur fractures filed lawsuits against Merck throughout the country. In May 2011, the Judicial Panel on Multidistrict Litigation consolidated these cases for pre-trial administration in a multi-district litigation (“MDL”) in the District of New Jersey.</w:t>
      </w:r>
      <w:bookmarkStart w:id="118" w:name="co_footnoteReference_B00602041287330_ID0"/>
      <w:bookmarkEnd w:id="118"/>
      <w:r>
        <w:rPr>
          <w:color w:val="000000"/>
          <w:sz w:val="16"/>
          <w:szCs w:val="16"/>
        </w:rPr>
        <w:fldChar w:fldCharType="begin"/>
      </w:r>
      <w:r>
        <w:rPr>
          <w:color w:val="000000"/>
          <w:sz w:val="16"/>
          <w:szCs w:val="16"/>
        </w:rPr>
        <w:instrText xml:space="preserve">HYPERLINK "#co_footnote_B00602041287330_1" </w:instrText>
      </w:r>
      <w:r w:rsidR="00F61700">
        <w:rPr>
          <w:color w:val="000000"/>
          <w:sz w:val="16"/>
          <w:szCs w:val="16"/>
        </w:rPr>
      </w:r>
      <w:r>
        <w:rPr>
          <w:color w:val="000000"/>
          <w:sz w:val="16"/>
          <w:szCs w:val="16"/>
        </w:rPr>
        <w:fldChar w:fldCharType="separate"/>
      </w:r>
      <w:r>
        <w:rPr>
          <w:color w:val="000000"/>
          <w:sz w:val="16"/>
          <w:szCs w:val="16"/>
          <w:vertAlign w:val="superscript"/>
        </w:rPr>
        <w:t>59</w:t>
      </w:r>
      <w:r>
        <w:rPr>
          <w:color w:val="000000"/>
          <w:sz w:val="16"/>
          <w:szCs w:val="16"/>
        </w:rPr>
        <w:fldChar w:fldCharType="end"/>
      </w:r>
      <w:r>
        <w:rPr>
          <w:color w:val="000000"/>
        </w:rPr>
        <w:t xml:space="preserve"> Since then, the MDL has been assigned to three different district judges</w:t>
      </w:r>
      <w:bookmarkStart w:id="119" w:name="co_footnoteReference_B00612041287330_ID0"/>
      <w:bookmarkEnd w:id="119"/>
      <w:r>
        <w:rPr>
          <w:color w:val="000000"/>
          <w:sz w:val="16"/>
          <w:szCs w:val="16"/>
        </w:rPr>
        <w:fldChar w:fldCharType="begin"/>
      </w:r>
      <w:r>
        <w:rPr>
          <w:color w:val="000000"/>
          <w:sz w:val="16"/>
          <w:szCs w:val="16"/>
        </w:rPr>
        <w:instrText xml:space="preserve">HYPERLINK "#co_footnote_B00612041287330_1" </w:instrText>
      </w:r>
      <w:r w:rsidR="00F61700">
        <w:rPr>
          <w:color w:val="000000"/>
          <w:sz w:val="16"/>
          <w:szCs w:val="16"/>
        </w:rPr>
      </w:r>
      <w:r>
        <w:rPr>
          <w:color w:val="000000"/>
          <w:sz w:val="16"/>
          <w:szCs w:val="16"/>
        </w:rPr>
        <w:fldChar w:fldCharType="separate"/>
      </w:r>
      <w:r>
        <w:rPr>
          <w:color w:val="000000"/>
          <w:sz w:val="16"/>
          <w:szCs w:val="16"/>
          <w:vertAlign w:val="superscript"/>
        </w:rPr>
        <w:t>60</w:t>
      </w:r>
      <w:r>
        <w:rPr>
          <w:color w:val="000000"/>
          <w:sz w:val="16"/>
          <w:szCs w:val="16"/>
        </w:rPr>
        <w:fldChar w:fldCharType="end"/>
      </w:r>
      <w:r>
        <w:rPr>
          <w:color w:val="000000"/>
        </w:rPr>
        <w:t xml:space="preserve"> and has swelled to over 1,000 cases, each involving a separate patient who allegedly suffered a femur fracture after taking </w:t>
      </w:r>
      <w:hyperlink r:id="rId173" w:history="1">
        <w:r>
          <w:rPr>
            <w:color w:val="000000"/>
          </w:rPr>
          <w:t>Fosamax</w:t>
        </w:r>
      </w:hyperlink>
      <w:r>
        <w:rPr>
          <w:color w:val="000000"/>
        </w:rPr>
        <w:t>.</w:t>
      </w:r>
    </w:p>
    <w:p w14:paraId="7422D6DE"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56EE206E" w14:textId="77777777">
        <w:tblPrEx>
          <w:tblCellMar>
            <w:top w:w="0" w:type="dxa"/>
            <w:left w:w="0" w:type="dxa"/>
            <w:bottom w:w="0" w:type="dxa"/>
            <w:right w:w="0" w:type="dxa"/>
          </w:tblCellMar>
        </w:tblPrEx>
        <w:tc>
          <w:tcPr>
            <w:tcW w:w="600" w:type="dxa"/>
            <w:tcBorders>
              <w:top w:val="nil"/>
              <w:left w:val="nil"/>
              <w:bottom w:val="nil"/>
              <w:right w:val="nil"/>
            </w:tcBorders>
          </w:tcPr>
          <w:bookmarkStart w:id="120" w:name="co_footnote_B00602041287330_1"/>
          <w:bookmarkEnd w:id="120"/>
          <w:p w14:paraId="7799E5B3"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"#co_footnoteReference_B00602041287330_ID0" </w:instrText>
            </w:r>
            <w:r w:rsidR="00F61700">
              <w:rPr>
                <w:color w:val="000000"/>
              </w:rPr>
            </w:r>
            <w:r>
              <w:rPr>
                <w:color w:val="000000"/>
              </w:rPr>
              <w:fldChar w:fldCharType="separate"/>
            </w:r>
            <w:r>
              <w:rPr>
                <w:color w:val="000000"/>
                <w:vertAlign w:val="superscript"/>
              </w:rPr>
              <w:t>59</w:t>
            </w:r>
            <w:r>
              <w:rPr>
                <w:color w:val="000000"/>
              </w:rPr>
              <w:fldChar w:fldCharType="end"/>
            </w:r>
          </w:p>
          <w:p w14:paraId="660E0953"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43889463" w14:textId="77777777" w:rsidR="00793DC4" w:rsidRDefault="00793DC4">
            <w:pPr>
              <w:widowControl w:val="0"/>
              <w:autoSpaceDE w:val="0"/>
              <w:autoSpaceDN w:val="0"/>
              <w:adjustRightInd w:val="0"/>
              <w:jc w:val="both"/>
              <w:rPr>
                <w:color w:val="000000"/>
                <w:sz w:val="18"/>
                <w:szCs w:val="18"/>
              </w:rPr>
            </w:pPr>
            <w:hyperlink r:id="rId174" w:history="1">
              <w:r>
                <w:rPr>
                  <w:i/>
                  <w:iCs/>
                  <w:color w:val="000000"/>
                  <w:sz w:val="18"/>
                  <w:szCs w:val="18"/>
                </w:rPr>
                <w:t xml:space="preserve">In re:  Fosamax (Alendronate Sodium) Prods. </w:t>
              </w:r>
              <w:proofErr w:type="spellStart"/>
              <w:r>
                <w:rPr>
                  <w:i/>
                  <w:iCs/>
                  <w:color w:val="000000"/>
                  <w:sz w:val="18"/>
                  <w:szCs w:val="18"/>
                </w:rPr>
                <w:t>Liab</w:t>
              </w:r>
              <w:proofErr w:type="spellEnd"/>
              <w:r>
                <w:rPr>
                  <w:i/>
                  <w:iCs/>
                  <w:color w:val="000000"/>
                  <w:sz w:val="18"/>
                  <w:szCs w:val="18"/>
                </w:rPr>
                <w:t xml:space="preserve">. </w:t>
              </w:r>
              <w:proofErr w:type="spellStart"/>
              <w:r>
                <w:rPr>
                  <w:i/>
                  <w:iCs/>
                  <w:color w:val="000000"/>
                  <w:sz w:val="18"/>
                  <w:szCs w:val="18"/>
                </w:rPr>
                <w:t>Litig</w:t>
              </w:r>
              <w:proofErr w:type="spellEnd"/>
              <w:r>
                <w:rPr>
                  <w:i/>
                  <w:iCs/>
                  <w:color w:val="000000"/>
                  <w:sz w:val="18"/>
                  <w:szCs w:val="18"/>
                </w:rPr>
                <w:t>. (No. II)</w:t>
              </w:r>
              <w:r>
                <w:rPr>
                  <w:color w:val="000000"/>
                  <w:sz w:val="18"/>
                  <w:szCs w:val="18"/>
                </w:rPr>
                <w:t>, 787 F.Supp.2d 1355 (J.P.M.L. 2011)</w:t>
              </w:r>
            </w:hyperlink>
            <w:r>
              <w:rPr>
                <w:color w:val="000000"/>
                <w:sz w:val="18"/>
                <w:szCs w:val="18"/>
              </w:rPr>
              <w:t xml:space="preserve"> (hereinafter, “</w:t>
            </w:r>
            <w:hyperlink r:id="rId175" w:history="1">
              <w:r>
                <w:rPr>
                  <w:i/>
                  <w:iCs/>
                  <w:color w:val="000000"/>
                  <w:sz w:val="18"/>
                  <w:szCs w:val="18"/>
                </w:rPr>
                <w:t>Fosamax MDL Order</w:t>
              </w:r>
            </w:hyperlink>
            <w:r>
              <w:rPr>
                <w:color w:val="000000"/>
                <w:sz w:val="18"/>
                <w:szCs w:val="18"/>
              </w:rPr>
              <w:t>”).</w:t>
            </w:r>
          </w:p>
          <w:p w14:paraId="69B16EA2" w14:textId="77777777" w:rsidR="00793DC4" w:rsidRDefault="00793DC4">
            <w:pPr>
              <w:widowControl w:val="0"/>
              <w:autoSpaceDE w:val="0"/>
              <w:autoSpaceDN w:val="0"/>
              <w:adjustRightInd w:val="0"/>
              <w:jc w:val="both"/>
              <w:rPr>
                <w:color w:val="000000"/>
                <w:sz w:val="18"/>
                <w:szCs w:val="18"/>
              </w:rPr>
            </w:pPr>
          </w:p>
        </w:tc>
      </w:tr>
    </w:tbl>
    <w:p w14:paraId="085F052A"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7201A39B" w14:textId="77777777">
        <w:tblPrEx>
          <w:tblCellMar>
            <w:top w:w="0" w:type="dxa"/>
            <w:left w:w="0" w:type="dxa"/>
            <w:bottom w:w="0" w:type="dxa"/>
            <w:right w:w="0" w:type="dxa"/>
          </w:tblCellMar>
        </w:tblPrEx>
        <w:tc>
          <w:tcPr>
            <w:tcW w:w="600" w:type="dxa"/>
            <w:tcBorders>
              <w:top w:val="nil"/>
              <w:left w:val="nil"/>
              <w:bottom w:val="nil"/>
              <w:right w:val="nil"/>
            </w:tcBorders>
          </w:tcPr>
          <w:bookmarkStart w:id="121" w:name="co_footnote_B00612041287330_1"/>
          <w:bookmarkEnd w:id="121"/>
          <w:p w14:paraId="4055D0A2"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"#co_footnoteReference_B00612041287330_ID0" </w:instrText>
            </w:r>
            <w:r w:rsidR="00F61700">
              <w:rPr>
                <w:color w:val="000000"/>
              </w:rPr>
            </w:r>
            <w:r>
              <w:rPr>
                <w:color w:val="000000"/>
              </w:rPr>
              <w:fldChar w:fldCharType="separate"/>
            </w:r>
            <w:r>
              <w:rPr>
                <w:color w:val="000000"/>
                <w:vertAlign w:val="superscript"/>
              </w:rPr>
              <w:t>60</w:t>
            </w:r>
            <w:r>
              <w:rPr>
                <w:color w:val="000000"/>
              </w:rPr>
              <w:fldChar w:fldCharType="end"/>
            </w:r>
          </w:p>
          <w:p w14:paraId="3731AF6B"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08236A2D" w14:textId="77777777" w:rsidR="00793DC4" w:rsidRDefault="00793DC4">
            <w:pPr>
              <w:widowControl w:val="0"/>
              <w:autoSpaceDE w:val="0"/>
              <w:autoSpaceDN w:val="0"/>
              <w:adjustRightInd w:val="0"/>
              <w:jc w:val="both"/>
              <w:rPr>
                <w:color w:val="000000"/>
                <w:sz w:val="18"/>
                <w:szCs w:val="18"/>
              </w:rPr>
            </w:pPr>
            <w:r>
              <w:rPr>
                <w:color w:val="000000"/>
                <w:sz w:val="18"/>
                <w:szCs w:val="18"/>
              </w:rPr>
              <w:t xml:space="preserve">The MDL is currently assigned to the Honorable Freda </w:t>
            </w:r>
            <w:proofErr w:type="spellStart"/>
            <w:r>
              <w:rPr>
                <w:color w:val="000000"/>
                <w:sz w:val="18"/>
                <w:szCs w:val="18"/>
              </w:rPr>
              <w:t>Wolfson</w:t>
            </w:r>
            <w:proofErr w:type="spellEnd"/>
            <w:r>
              <w:rPr>
                <w:color w:val="000000"/>
                <w:sz w:val="18"/>
                <w:szCs w:val="18"/>
              </w:rPr>
              <w:t>.</w:t>
            </w:r>
          </w:p>
          <w:p w14:paraId="51ACECB4" w14:textId="77777777" w:rsidR="00793DC4" w:rsidRDefault="00793DC4">
            <w:pPr>
              <w:widowControl w:val="0"/>
              <w:autoSpaceDE w:val="0"/>
              <w:autoSpaceDN w:val="0"/>
              <w:adjustRightInd w:val="0"/>
              <w:jc w:val="both"/>
              <w:rPr>
                <w:color w:val="000000"/>
                <w:sz w:val="18"/>
                <w:szCs w:val="18"/>
              </w:rPr>
            </w:pPr>
          </w:p>
        </w:tc>
      </w:tr>
    </w:tbl>
    <w:p w14:paraId="43EE78EE" w14:textId="77777777" w:rsidR="00793DC4" w:rsidRDefault="00793DC4">
      <w:pPr>
        <w:widowControl w:val="0"/>
        <w:autoSpaceDE w:val="0"/>
        <w:autoSpaceDN w:val="0"/>
        <w:adjustRightInd w:val="0"/>
        <w:jc w:val="both"/>
        <w:rPr>
          <w:color w:val="000000"/>
        </w:rPr>
      </w:pPr>
    </w:p>
    <w:p w14:paraId="2EA2139C" w14:textId="77777777" w:rsidR="00793DC4" w:rsidRDefault="00793DC4">
      <w:pPr>
        <w:widowControl w:val="0"/>
        <w:autoSpaceDE w:val="0"/>
        <w:autoSpaceDN w:val="0"/>
        <w:adjustRightInd w:val="0"/>
        <w:jc w:val="both"/>
        <w:rPr>
          <w:color w:val="000000"/>
          <w:sz w:val="16"/>
          <w:szCs w:val="16"/>
        </w:rPr>
      </w:pPr>
      <w:r>
        <w:rPr>
          <w:color w:val="000000"/>
        </w:rPr>
        <w:t xml:space="preserve">Although no two complaints in the MDL are identical, all of the actions “share questions of fact arising from similar allegations that use of </w:t>
      </w:r>
      <w:hyperlink r:id="rId176" w:history="1">
        <w:r>
          <w:rPr>
            <w:color w:val="000000"/>
          </w:rPr>
          <w:t>Fosamax</w:t>
        </w:r>
      </w:hyperlink>
      <w:r>
        <w:rPr>
          <w:color w:val="000000"/>
        </w:rPr>
        <w:t xml:space="preserve"> ... caused femur fractures or similar bone injuries.”</w:t>
      </w:r>
      <w:bookmarkStart w:id="122" w:name="co_footnoteReference_B00622041287330_ID0"/>
      <w:bookmarkEnd w:id="122"/>
      <w:r>
        <w:rPr>
          <w:color w:val="000000"/>
          <w:sz w:val="16"/>
          <w:szCs w:val="16"/>
        </w:rPr>
        <w:fldChar w:fldCharType="begin"/>
      </w:r>
      <w:r>
        <w:rPr>
          <w:color w:val="000000"/>
          <w:sz w:val="16"/>
          <w:szCs w:val="16"/>
        </w:rPr>
        <w:instrText xml:space="preserve">HYPERLINK "#co_footnote_B00622041287330_1" </w:instrText>
      </w:r>
      <w:r w:rsidR="00F61700">
        <w:rPr>
          <w:color w:val="000000"/>
          <w:sz w:val="16"/>
          <w:szCs w:val="16"/>
        </w:rPr>
      </w:r>
      <w:r>
        <w:rPr>
          <w:color w:val="000000"/>
          <w:sz w:val="16"/>
          <w:szCs w:val="16"/>
        </w:rPr>
        <w:fldChar w:fldCharType="separate"/>
      </w:r>
      <w:r>
        <w:rPr>
          <w:color w:val="000000"/>
          <w:sz w:val="16"/>
          <w:szCs w:val="16"/>
          <w:vertAlign w:val="superscript"/>
        </w:rPr>
        <w:t>61</w:t>
      </w:r>
      <w:r>
        <w:rPr>
          <w:color w:val="000000"/>
          <w:sz w:val="16"/>
          <w:szCs w:val="16"/>
        </w:rPr>
        <w:fldChar w:fldCharType="end"/>
      </w:r>
      <w:r>
        <w:rPr>
          <w:color w:val="000000"/>
        </w:rPr>
        <w:t xml:space="preserve"> </w:t>
      </w:r>
      <w:r w:rsidRPr="00616B59">
        <w:rPr>
          <w:color w:val="000000"/>
          <w:highlight w:val="yellow"/>
        </w:rPr>
        <w:t xml:space="preserve">The individual Plaintiffs in this appeal all allege that they were injured before September 14, </w:t>
      </w:r>
      <w:proofErr w:type="gramStart"/>
      <w:r w:rsidRPr="00616B59">
        <w:rPr>
          <w:color w:val="000000"/>
          <w:highlight w:val="yellow"/>
        </w:rPr>
        <w:t>2010,</w:t>
      </w:r>
      <w:proofErr w:type="gramEnd"/>
      <w:r w:rsidRPr="00616B59">
        <w:rPr>
          <w:color w:val="000000"/>
          <w:highlight w:val="yellow"/>
        </w:rPr>
        <w:t xml:space="preserve"> the date the outside expert task force published its report documenting an association between bisphosphonate use and atypical femur fractures.</w:t>
      </w:r>
      <w:r>
        <w:rPr>
          <w:color w:val="000000"/>
        </w:rPr>
        <w:t xml:space="preserve"> According to Plaintiffs,</w:t>
      </w:r>
      <w:bookmarkStart w:id="123" w:name="co_footnoteReference_B00632041287330_ID0"/>
      <w:bookmarkEnd w:id="123"/>
      <w:r>
        <w:rPr>
          <w:color w:val="000000"/>
          <w:sz w:val="16"/>
          <w:szCs w:val="16"/>
        </w:rPr>
        <w:fldChar w:fldCharType="begin"/>
      </w:r>
      <w:r>
        <w:rPr>
          <w:color w:val="000000"/>
          <w:sz w:val="16"/>
          <w:szCs w:val="16"/>
        </w:rPr>
        <w:instrText xml:space="preserve">HYPERLINK "#co_footnote_B00632041287330_1" </w:instrText>
      </w:r>
      <w:r w:rsidR="00F61700">
        <w:rPr>
          <w:color w:val="000000"/>
          <w:sz w:val="16"/>
          <w:szCs w:val="16"/>
        </w:rPr>
      </w:r>
      <w:r>
        <w:rPr>
          <w:color w:val="000000"/>
          <w:sz w:val="16"/>
          <w:szCs w:val="16"/>
        </w:rPr>
        <w:fldChar w:fldCharType="separate"/>
      </w:r>
      <w:r>
        <w:rPr>
          <w:color w:val="000000"/>
          <w:sz w:val="16"/>
          <w:szCs w:val="16"/>
          <w:vertAlign w:val="superscript"/>
        </w:rPr>
        <w:t>62</w:t>
      </w:r>
      <w:r>
        <w:rPr>
          <w:color w:val="000000"/>
          <w:sz w:val="16"/>
          <w:szCs w:val="16"/>
        </w:rPr>
        <w:fldChar w:fldCharType="end"/>
      </w:r>
      <w:r>
        <w:rPr>
          <w:color w:val="000000"/>
        </w:rPr>
        <w:t xml:space="preserve"> the </w:t>
      </w:r>
      <w:r>
        <w:rPr>
          <w:b/>
          <w:bCs/>
          <w:color w:val="000000"/>
        </w:rPr>
        <w:t>*280</w:t>
      </w:r>
      <w:r>
        <w:rPr>
          <w:color w:val="000000"/>
        </w:rPr>
        <w:t xml:space="preserve"> complaints filed by this cohort generally include a state-law products liability claim for failure to warn, alleging that </w:t>
      </w:r>
      <w:hyperlink r:id="rId177" w:history="1">
        <w:r>
          <w:rPr>
            <w:color w:val="000000"/>
          </w:rPr>
          <w:t>Fosamax</w:t>
        </w:r>
      </w:hyperlink>
      <w:r>
        <w:rPr>
          <w:color w:val="000000"/>
        </w:rPr>
        <w:t xml:space="preserve"> was defective because Merck failed to warn Plaintiffs and their physicians about the risk of atypical femur fractures. Many complaints also claim that </w:t>
      </w:r>
      <w:hyperlink r:id="rId178" w:history="1">
        <w:r>
          <w:rPr>
            <w:color w:val="000000"/>
          </w:rPr>
          <w:t>Fosamax</w:t>
        </w:r>
      </w:hyperlink>
      <w:r>
        <w:rPr>
          <w:color w:val="000000"/>
        </w:rPr>
        <w:t xml:space="preserve"> was defectively designed because the risks of </w:t>
      </w:r>
      <w:hyperlink r:id="rId179" w:history="1">
        <w:r>
          <w:rPr>
            <w:color w:val="000000"/>
          </w:rPr>
          <w:t>Fosamax</w:t>
        </w:r>
      </w:hyperlink>
      <w:r>
        <w:rPr>
          <w:color w:val="000000"/>
        </w:rPr>
        <w:t xml:space="preserve"> exceeded the benefits, or because </w:t>
      </w:r>
      <w:hyperlink r:id="rId180" w:history="1">
        <w:r>
          <w:rPr>
            <w:color w:val="000000"/>
          </w:rPr>
          <w:t>Fosamax</w:t>
        </w:r>
      </w:hyperlink>
      <w:r>
        <w:rPr>
          <w:color w:val="000000"/>
        </w:rPr>
        <w:t xml:space="preserve"> was unreasonably dangerous or more dangerous than an ordinary consumer would expect. Many complaints also include claims for, among other causes of action, negligence, negligent misrepresentation, breach of express and implied warranties, unjust enrichment, punitive damages, and violations of state consumer fraud and deceptive trade practice statutes.</w:t>
      </w:r>
      <w:bookmarkStart w:id="124" w:name="co_footnoteReference_B00642041287330_ID0"/>
      <w:bookmarkEnd w:id="124"/>
      <w:r>
        <w:rPr>
          <w:color w:val="000000"/>
          <w:sz w:val="16"/>
          <w:szCs w:val="16"/>
        </w:rPr>
        <w:fldChar w:fldCharType="begin"/>
      </w:r>
      <w:r>
        <w:rPr>
          <w:color w:val="000000"/>
          <w:sz w:val="16"/>
          <w:szCs w:val="16"/>
        </w:rPr>
        <w:instrText xml:space="preserve">HYPERLINK "#co_footnote_B00642041287330_1" </w:instrText>
      </w:r>
      <w:r w:rsidR="00F61700">
        <w:rPr>
          <w:color w:val="000000"/>
          <w:sz w:val="16"/>
          <w:szCs w:val="16"/>
        </w:rPr>
      </w:r>
      <w:r>
        <w:rPr>
          <w:color w:val="000000"/>
          <w:sz w:val="16"/>
          <w:szCs w:val="16"/>
        </w:rPr>
        <w:fldChar w:fldCharType="separate"/>
      </w:r>
      <w:r>
        <w:rPr>
          <w:color w:val="000000"/>
          <w:sz w:val="16"/>
          <w:szCs w:val="16"/>
          <w:vertAlign w:val="superscript"/>
        </w:rPr>
        <w:t>63</w:t>
      </w:r>
      <w:r>
        <w:rPr>
          <w:color w:val="000000"/>
          <w:sz w:val="16"/>
          <w:szCs w:val="16"/>
        </w:rPr>
        <w:fldChar w:fldCharType="end"/>
      </w:r>
    </w:p>
    <w:p w14:paraId="1AD716A6"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3B4049D9" w14:textId="77777777">
        <w:tblPrEx>
          <w:tblCellMar>
            <w:top w:w="0" w:type="dxa"/>
            <w:left w:w="0" w:type="dxa"/>
            <w:bottom w:w="0" w:type="dxa"/>
            <w:right w:w="0" w:type="dxa"/>
          </w:tblCellMar>
        </w:tblPrEx>
        <w:tc>
          <w:tcPr>
            <w:tcW w:w="600" w:type="dxa"/>
            <w:tcBorders>
              <w:top w:val="nil"/>
              <w:left w:val="nil"/>
              <w:bottom w:val="nil"/>
              <w:right w:val="nil"/>
            </w:tcBorders>
          </w:tcPr>
          <w:bookmarkStart w:id="125" w:name="co_footnote_B00622041287330_1"/>
          <w:bookmarkEnd w:id="125"/>
          <w:p w14:paraId="488CA304"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"#co_footnoteReference_B00622041287330_ID0" </w:instrText>
            </w:r>
            <w:r w:rsidR="00F61700">
              <w:rPr>
                <w:color w:val="000000"/>
              </w:rPr>
            </w:r>
            <w:r>
              <w:rPr>
                <w:color w:val="000000"/>
              </w:rPr>
              <w:fldChar w:fldCharType="separate"/>
            </w:r>
            <w:r>
              <w:rPr>
                <w:color w:val="000000"/>
                <w:vertAlign w:val="superscript"/>
              </w:rPr>
              <w:t>61</w:t>
            </w:r>
            <w:r>
              <w:rPr>
                <w:color w:val="000000"/>
              </w:rPr>
              <w:fldChar w:fldCharType="end"/>
            </w:r>
          </w:p>
          <w:p w14:paraId="56569995"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534ECDC2" w14:textId="77777777" w:rsidR="00793DC4" w:rsidRDefault="00793DC4">
            <w:pPr>
              <w:widowControl w:val="0"/>
              <w:autoSpaceDE w:val="0"/>
              <w:autoSpaceDN w:val="0"/>
              <w:adjustRightInd w:val="0"/>
              <w:jc w:val="both"/>
              <w:rPr>
                <w:color w:val="000000"/>
                <w:sz w:val="18"/>
                <w:szCs w:val="18"/>
              </w:rPr>
            </w:pPr>
            <w:hyperlink r:id="rId181" w:history="1">
              <w:r>
                <w:rPr>
                  <w:i/>
                  <w:iCs/>
                  <w:color w:val="000000"/>
                  <w:sz w:val="18"/>
                  <w:szCs w:val="18"/>
                </w:rPr>
                <w:t>Fosamax MDL Order</w:t>
              </w:r>
              <w:r>
                <w:rPr>
                  <w:color w:val="000000"/>
                  <w:sz w:val="18"/>
                  <w:szCs w:val="18"/>
                </w:rPr>
                <w:t>, 787 F.Supp.2d at 1356</w:t>
              </w:r>
            </w:hyperlink>
            <w:r>
              <w:rPr>
                <w:color w:val="000000"/>
                <w:sz w:val="18"/>
                <w:szCs w:val="18"/>
              </w:rPr>
              <w:t>.</w:t>
            </w:r>
          </w:p>
          <w:p w14:paraId="11386325" w14:textId="77777777" w:rsidR="00793DC4" w:rsidRDefault="00793DC4">
            <w:pPr>
              <w:widowControl w:val="0"/>
              <w:autoSpaceDE w:val="0"/>
              <w:autoSpaceDN w:val="0"/>
              <w:adjustRightInd w:val="0"/>
              <w:jc w:val="both"/>
              <w:rPr>
                <w:color w:val="000000"/>
                <w:sz w:val="18"/>
                <w:szCs w:val="18"/>
              </w:rPr>
            </w:pPr>
          </w:p>
        </w:tc>
      </w:tr>
    </w:tbl>
    <w:p w14:paraId="2C5DE7A5"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4B8DE548" w14:textId="77777777">
        <w:tblPrEx>
          <w:tblCellMar>
            <w:top w:w="0" w:type="dxa"/>
            <w:left w:w="0" w:type="dxa"/>
            <w:bottom w:w="0" w:type="dxa"/>
            <w:right w:w="0" w:type="dxa"/>
          </w:tblCellMar>
        </w:tblPrEx>
        <w:tc>
          <w:tcPr>
            <w:tcW w:w="600" w:type="dxa"/>
            <w:tcBorders>
              <w:top w:val="nil"/>
              <w:left w:val="nil"/>
              <w:bottom w:val="nil"/>
              <w:right w:val="nil"/>
            </w:tcBorders>
          </w:tcPr>
          <w:bookmarkStart w:id="126" w:name="co_footnote_B00632041287330_1"/>
          <w:bookmarkEnd w:id="126"/>
          <w:p w14:paraId="298C684E"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"#co_footnoteReference_B00632041287330_ID0" </w:instrText>
            </w:r>
            <w:r w:rsidR="00F61700">
              <w:rPr>
                <w:color w:val="000000"/>
              </w:rPr>
            </w:r>
            <w:r>
              <w:rPr>
                <w:color w:val="000000"/>
              </w:rPr>
              <w:fldChar w:fldCharType="separate"/>
            </w:r>
            <w:r>
              <w:rPr>
                <w:color w:val="000000"/>
                <w:vertAlign w:val="superscript"/>
              </w:rPr>
              <w:t>62</w:t>
            </w:r>
            <w:r>
              <w:rPr>
                <w:color w:val="000000"/>
              </w:rPr>
              <w:fldChar w:fldCharType="end"/>
            </w:r>
          </w:p>
          <w:p w14:paraId="0A8A3721"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7371A8B4" w14:textId="77777777" w:rsidR="00793DC4" w:rsidRDefault="00793DC4">
            <w:pPr>
              <w:widowControl w:val="0"/>
              <w:autoSpaceDE w:val="0"/>
              <w:autoSpaceDN w:val="0"/>
              <w:adjustRightInd w:val="0"/>
              <w:jc w:val="both"/>
              <w:rPr>
                <w:color w:val="000000"/>
                <w:sz w:val="18"/>
                <w:szCs w:val="18"/>
              </w:rPr>
            </w:pPr>
            <w:r>
              <w:rPr>
                <w:color w:val="000000"/>
                <w:sz w:val="18"/>
                <w:szCs w:val="18"/>
              </w:rPr>
              <w:t>This appeal involves over 500 related cases, and the parties have wisely chosen not to include each complaint in the record. We are therefore necessarily reliant on the parties for information regarding the nature, prevalence and commonality of the plaintiffs’ claims.</w:t>
            </w:r>
          </w:p>
          <w:p w14:paraId="6A61F8AD" w14:textId="77777777" w:rsidR="00793DC4" w:rsidRDefault="00793DC4">
            <w:pPr>
              <w:widowControl w:val="0"/>
              <w:autoSpaceDE w:val="0"/>
              <w:autoSpaceDN w:val="0"/>
              <w:adjustRightInd w:val="0"/>
              <w:jc w:val="both"/>
              <w:rPr>
                <w:color w:val="000000"/>
                <w:sz w:val="18"/>
                <w:szCs w:val="18"/>
              </w:rPr>
            </w:pPr>
          </w:p>
        </w:tc>
      </w:tr>
    </w:tbl>
    <w:p w14:paraId="1DA1CC3B"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122ED507" w14:textId="77777777">
        <w:tblPrEx>
          <w:tblCellMar>
            <w:top w:w="0" w:type="dxa"/>
            <w:left w:w="0" w:type="dxa"/>
            <w:bottom w:w="0" w:type="dxa"/>
            <w:right w:w="0" w:type="dxa"/>
          </w:tblCellMar>
        </w:tblPrEx>
        <w:tc>
          <w:tcPr>
            <w:tcW w:w="600" w:type="dxa"/>
            <w:tcBorders>
              <w:top w:val="nil"/>
              <w:left w:val="nil"/>
              <w:bottom w:val="nil"/>
              <w:right w:val="nil"/>
            </w:tcBorders>
          </w:tcPr>
          <w:bookmarkStart w:id="127" w:name="co_footnote_B00642041287330_1"/>
          <w:bookmarkEnd w:id="127"/>
          <w:p w14:paraId="6324BB70"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"#co_footnoteReference_B00642041287330_ID0" </w:instrText>
            </w:r>
            <w:r w:rsidR="00F61700">
              <w:rPr>
                <w:color w:val="000000"/>
              </w:rPr>
            </w:r>
            <w:r>
              <w:rPr>
                <w:color w:val="000000"/>
              </w:rPr>
              <w:fldChar w:fldCharType="separate"/>
            </w:r>
            <w:r>
              <w:rPr>
                <w:color w:val="000000"/>
                <w:vertAlign w:val="superscript"/>
              </w:rPr>
              <w:t>63</w:t>
            </w:r>
            <w:r>
              <w:rPr>
                <w:color w:val="000000"/>
              </w:rPr>
              <w:fldChar w:fldCharType="end"/>
            </w:r>
          </w:p>
          <w:p w14:paraId="1337A6E2"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5909F4DB" w14:textId="77777777" w:rsidR="00793DC4" w:rsidRDefault="00793DC4">
            <w:pPr>
              <w:widowControl w:val="0"/>
              <w:autoSpaceDE w:val="0"/>
              <w:autoSpaceDN w:val="0"/>
              <w:adjustRightInd w:val="0"/>
              <w:jc w:val="both"/>
              <w:rPr>
                <w:color w:val="000000"/>
                <w:sz w:val="18"/>
                <w:szCs w:val="18"/>
              </w:rPr>
            </w:pPr>
            <w:r>
              <w:rPr>
                <w:color w:val="000000"/>
                <w:sz w:val="18"/>
                <w:szCs w:val="18"/>
              </w:rPr>
              <w:t>Although the complaints exclusively plead state-law causes of action, the actions are in federal court on diversity grounds.</w:t>
            </w:r>
          </w:p>
          <w:p w14:paraId="6E035DB5" w14:textId="77777777" w:rsidR="00793DC4" w:rsidRDefault="00793DC4">
            <w:pPr>
              <w:widowControl w:val="0"/>
              <w:autoSpaceDE w:val="0"/>
              <w:autoSpaceDN w:val="0"/>
              <w:adjustRightInd w:val="0"/>
              <w:jc w:val="both"/>
              <w:rPr>
                <w:color w:val="000000"/>
                <w:sz w:val="18"/>
                <w:szCs w:val="18"/>
              </w:rPr>
            </w:pPr>
          </w:p>
        </w:tc>
      </w:tr>
    </w:tbl>
    <w:p w14:paraId="29AF3327" w14:textId="77777777" w:rsidR="00793DC4" w:rsidRDefault="00793DC4">
      <w:pPr>
        <w:widowControl w:val="0"/>
        <w:autoSpaceDE w:val="0"/>
        <w:autoSpaceDN w:val="0"/>
        <w:adjustRightInd w:val="0"/>
        <w:jc w:val="both"/>
        <w:rPr>
          <w:color w:val="000000"/>
        </w:rPr>
      </w:pPr>
    </w:p>
    <w:p w14:paraId="414A2F31" w14:textId="77777777" w:rsidR="00793DC4" w:rsidRDefault="00793DC4">
      <w:pPr>
        <w:widowControl w:val="0"/>
        <w:autoSpaceDE w:val="0"/>
        <w:autoSpaceDN w:val="0"/>
        <w:adjustRightInd w:val="0"/>
        <w:jc w:val="both"/>
        <w:rPr>
          <w:color w:val="000000"/>
          <w:sz w:val="16"/>
          <w:szCs w:val="16"/>
        </w:rPr>
      </w:pPr>
      <w:r>
        <w:rPr>
          <w:color w:val="000000"/>
        </w:rPr>
        <w:t xml:space="preserve">Merck has argued since the inception of the MDL that Plaintiffs’ state-law failure-to-warn claims are preempted by FDA regulations. The District Court decided to address preemption after developing a full record in a bellwether trial, the so-called </w:t>
      </w:r>
      <w:hyperlink r:id="rId182" w:history="1">
        <w:r>
          <w:rPr>
            <w:i/>
            <w:iCs/>
            <w:color w:val="000000"/>
          </w:rPr>
          <w:t>Glynn</w:t>
        </w:r>
      </w:hyperlink>
      <w:r>
        <w:rPr>
          <w:color w:val="000000"/>
        </w:rPr>
        <w:t xml:space="preserve"> trial. Typical of all plaintiffs in this MDL, the lead plaintiff in </w:t>
      </w:r>
      <w:hyperlink r:id="rId183" w:history="1">
        <w:r>
          <w:rPr>
            <w:i/>
            <w:iCs/>
            <w:color w:val="000000"/>
          </w:rPr>
          <w:t>Glynn</w:t>
        </w:r>
      </w:hyperlink>
      <w:r>
        <w:rPr>
          <w:color w:val="000000"/>
        </w:rPr>
        <w:t xml:space="preserve"> claimed that she suffered an atypical femur fracture that was proximately caused by Merck’s failure to include adequate fracture warnings on the </w:t>
      </w:r>
      <w:hyperlink r:id="rId184" w:history="1">
        <w:r>
          <w:rPr>
            <w:color w:val="000000"/>
          </w:rPr>
          <w:t>Fosamax</w:t>
        </w:r>
      </w:hyperlink>
      <w:r>
        <w:rPr>
          <w:color w:val="000000"/>
        </w:rPr>
        <w:t xml:space="preserve"> label.</w:t>
      </w:r>
      <w:bookmarkStart w:id="128" w:name="co_footnoteReference_B00652041287330_ID0"/>
      <w:bookmarkEnd w:id="128"/>
      <w:r>
        <w:rPr>
          <w:color w:val="000000"/>
          <w:sz w:val="16"/>
          <w:szCs w:val="16"/>
        </w:rPr>
        <w:fldChar w:fldCharType="begin"/>
      </w:r>
      <w:r>
        <w:rPr>
          <w:color w:val="000000"/>
          <w:sz w:val="16"/>
          <w:szCs w:val="16"/>
        </w:rPr>
        <w:instrText xml:space="preserve">HYPERLINK "#co_footnote_B00652041287330_1" </w:instrText>
      </w:r>
      <w:r w:rsidR="00F61700">
        <w:rPr>
          <w:color w:val="000000"/>
          <w:sz w:val="16"/>
          <w:szCs w:val="16"/>
        </w:rPr>
      </w:r>
      <w:r>
        <w:rPr>
          <w:color w:val="000000"/>
          <w:sz w:val="16"/>
          <w:szCs w:val="16"/>
        </w:rPr>
        <w:fldChar w:fldCharType="separate"/>
      </w:r>
      <w:r>
        <w:rPr>
          <w:color w:val="000000"/>
          <w:sz w:val="16"/>
          <w:szCs w:val="16"/>
          <w:vertAlign w:val="superscript"/>
        </w:rPr>
        <w:t>64</w:t>
      </w:r>
      <w:r>
        <w:rPr>
          <w:color w:val="000000"/>
          <w:sz w:val="16"/>
          <w:szCs w:val="16"/>
        </w:rPr>
        <w:fldChar w:fldCharType="end"/>
      </w:r>
      <w:r>
        <w:rPr>
          <w:color w:val="000000"/>
        </w:rPr>
        <w:t xml:space="preserve"> Merck moved for judgment as a matter of law on preemption grounds before and during trial, but the District Court reserved judgment.</w:t>
      </w:r>
      <w:bookmarkStart w:id="129" w:name="co_footnoteReference_B00662041287330_ID0"/>
      <w:bookmarkEnd w:id="129"/>
      <w:r>
        <w:rPr>
          <w:color w:val="000000"/>
          <w:sz w:val="16"/>
          <w:szCs w:val="16"/>
        </w:rPr>
        <w:fldChar w:fldCharType="begin"/>
      </w:r>
      <w:r>
        <w:rPr>
          <w:color w:val="000000"/>
          <w:sz w:val="16"/>
          <w:szCs w:val="16"/>
        </w:rPr>
        <w:instrText xml:space="preserve">HYPERLINK "#co_footnote_B00662041287330_1" </w:instrText>
      </w:r>
      <w:r w:rsidR="00F61700">
        <w:rPr>
          <w:color w:val="000000"/>
          <w:sz w:val="16"/>
          <w:szCs w:val="16"/>
        </w:rPr>
      </w:r>
      <w:r>
        <w:rPr>
          <w:color w:val="000000"/>
          <w:sz w:val="16"/>
          <w:szCs w:val="16"/>
        </w:rPr>
        <w:fldChar w:fldCharType="separate"/>
      </w:r>
      <w:r>
        <w:rPr>
          <w:color w:val="000000"/>
          <w:sz w:val="16"/>
          <w:szCs w:val="16"/>
          <w:vertAlign w:val="superscript"/>
        </w:rPr>
        <w:t>65</w:t>
      </w:r>
      <w:r>
        <w:rPr>
          <w:color w:val="000000"/>
          <w:sz w:val="16"/>
          <w:szCs w:val="16"/>
        </w:rPr>
        <w:fldChar w:fldCharType="end"/>
      </w:r>
      <w:r>
        <w:rPr>
          <w:color w:val="000000"/>
        </w:rPr>
        <w:t xml:space="preserve"> The jury returned a verdict for Merck on the merits, finding that Ms. Glynn failed to prove by a preponderance of the evidence that she experienced an atypical femur fracture.</w:t>
      </w:r>
      <w:bookmarkStart w:id="130" w:name="co_footnoteReference_B00672041287330_ID0"/>
      <w:bookmarkEnd w:id="130"/>
      <w:r>
        <w:rPr>
          <w:color w:val="000000"/>
          <w:sz w:val="16"/>
          <w:szCs w:val="16"/>
        </w:rPr>
        <w:fldChar w:fldCharType="begin"/>
      </w:r>
      <w:r>
        <w:rPr>
          <w:color w:val="000000"/>
          <w:sz w:val="16"/>
          <w:szCs w:val="16"/>
        </w:rPr>
        <w:instrText xml:space="preserve">HYPERLINK "#co_footnote_B00672041287330_1" </w:instrText>
      </w:r>
      <w:r w:rsidR="00F61700">
        <w:rPr>
          <w:color w:val="000000"/>
          <w:sz w:val="16"/>
          <w:szCs w:val="16"/>
        </w:rPr>
      </w:r>
      <w:r>
        <w:rPr>
          <w:color w:val="000000"/>
          <w:sz w:val="16"/>
          <w:szCs w:val="16"/>
        </w:rPr>
        <w:fldChar w:fldCharType="separate"/>
      </w:r>
      <w:r>
        <w:rPr>
          <w:color w:val="000000"/>
          <w:sz w:val="16"/>
          <w:szCs w:val="16"/>
          <w:vertAlign w:val="superscript"/>
        </w:rPr>
        <w:t>66</w:t>
      </w:r>
      <w:r>
        <w:rPr>
          <w:color w:val="000000"/>
          <w:sz w:val="16"/>
          <w:szCs w:val="16"/>
        </w:rPr>
        <w:fldChar w:fldCharType="end"/>
      </w:r>
      <w:r>
        <w:rPr>
          <w:color w:val="000000"/>
        </w:rPr>
        <w:t xml:space="preserve"> Despite this verdict, the District Court announced that it would still decide whether the </w:t>
      </w:r>
      <w:proofErr w:type="spellStart"/>
      <w:r>
        <w:rPr>
          <w:color w:val="000000"/>
        </w:rPr>
        <w:t>Glynns</w:t>
      </w:r>
      <w:proofErr w:type="spellEnd"/>
      <w:r>
        <w:rPr>
          <w:color w:val="000000"/>
        </w:rPr>
        <w:t>’ claims were preempted.</w:t>
      </w:r>
      <w:bookmarkStart w:id="131" w:name="co_footnoteReference_B00682041287330_ID0"/>
      <w:bookmarkEnd w:id="131"/>
      <w:r>
        <w:rPr>
          <w:color w:val="000000"/>
          <w:sz w:val="16"/>
          <w:szCs w:val="16"/>
        </w:rPr>
        <w:fldChar w:fldCharType="begin"/>
      </w:r>
      <w:r>
        <w:rPr>
          <w:color w:val="000000"/>
          <w:sz w:val="16"/>
          <w:szCs w:val="16"/>
        </w:rPr>
        <w:instrText xml:space="preserve">HYPERLINK "#co_footnote_B00682041287330_1" </w:instrText>
      </w:r>
      <w:r w:rsidR="00F61700">
        <w:rPr>
          <w:color w:val="000000"/>
          <w:sz w:val="16"/>
          <w:szCs w:val="16"/>
        </w:rPr>
      </w:r>
      <w:r>
        <w:rPr>
          <w:color w:val="000000"/>
          <w:sz w:val="16"/>
          <w:szCs w:val="16"/>
        </w:rPr>
        <w:fldChar w:fldCharType="separate"/>
      </w:r>
      <w:r>
        <w:rPr>
          <w:color w:val="000000"/>
          <w:sz w:val="16"/>
          <w:szCs w:val="16"/>
          <w:vertAlign w:val="superscript"/>
        </w:rPr>
        <w:t>67</w:t>
      </w:r>
      <w:r>
        <w:rPr>
          <w:color w:val="000000"/>
          <w:sz w:val="16"/>
          <w:szCs w:val="16"/>
        </w:rPr>
        <w:fldChar w:fldCharType="end"/>
      </w:r>
    </w:p>
    <w:p w14:paraId="56014457"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14CFE536" w14:textId="77777777">
        <w:tblPrEx>
          <w:tblCellMar>
            <w:top w:w="0" w:type="dxa"/>
            <w:left w:w="0" w:type="dxa"/>
            <w:bottom w:w="0" w:type="dxa"/>
            <w:right w:w="0" w:type="dxa"/>
          </w:tblCellMar>
        </w:tblPrEx>
        <w:tc>
          <w:tcPr>
            <w:tcW w:w="600" w:type="dxa"/>
            <w:tcBorders>
              <w:top w:val="nil"/>
              <w:left w:val="nil"/>
              <w:bottom w:val="nil"/>
              <w:right w:val="nil"/>
            </w:tcBorders>
          </w:tcPr>
          <w:bookmarkStart w:id="132" w:name="co_footnote_B00652041287330_1"/>
          <w:bookmarkEnd w:id="132"/>
          <w:p w14:paraId="09A799C5"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"#co_footnoteReference_B00652041287330_ID0" </w:instrText>
            </w:r>
            <w:r w:rsidR="00F61700">
              <w:rPr>
                <w:color w:val="000000"/>
              </w:rPr>
            </w:r>
            <w:r>
              <w:rPr>
                <w:color w:val="000000"/>
              </w:rPr>
              <w:fldChar w:fldCharType="separate"/>
            </w:r>
            <w:r>
              <w:rPr>
                <w:color w:val="000000"/>
                <w:vertAlign w:val="superscript"/>
              </w:rPr>
              <w:t>64</w:t>
            </w:r>
            <w:r>
              <w:rPr>
                <w:color w:val="000000"/>
              </w:rPr>
              <w:fldChar w:fldCharType="end"/>
            </w:r>
          </w:p>
          <w:p w14:paraId="7DC2DE13"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37CE71FE" w14:textId="77777777" w:rsidR="00793DC4" w:rsidRDefault="00793DC4">
            <w:pPr>
              <w:widowControl w:val="0"/>
              <w:autoSpaceDE w:val="0"/>
              <w:autoSpaceDN w:val="0"/>
              <w:adjustRightInd w:val="0"/>
              <w:jc w:val="both"/>
              <w:rPr>
                <w:color w:val="000000"/>
                <w:sz w:val="18"/>
                <w:szCs w:val="18"/>
              </w:rPr>
            </w:pPr>
            <w:r>
              <w:rPr>
                <w:color w:val="000000"/>
                <w:sz w:val="18"/>
                <w:szCs w:val="18"/>
              </w:rPr>
              <w:t xml:space="preserve">Although the </w:t>
            </w:r>
            <w:hyperlink r:id="rId185" w:history="1">
              <w:r>
                <w:rPr>
                  <w:i/>
                  <w:iCs/>
                  <w:color w:val="000000"/>
                  <w:sz w:val="18"/>
                  <w:szCs w:val="18"/>
                </w:rPr>
                <w:t>Glynn</w:t>
              </w:r>
            </w:hyperlink>
            <w:r>
              <w:rPr>
                <w:color w:val="000000"/>
                <w:sz w:val="18"/>
                <w:szCs w:val="18"/>
              </w:rPr>
              <w:t xml:space="preserve"> plaintiffs brought multiple claims, the only one they actually tried to verdict was a failure-to-warn claim. </w:t>
            </w:r>
            <w:hyperlink r:id="rId186" w:history="1">
              <w:r>
                <w:rPr>
                  <w:i/>
                  <w:iCs/>
                  <w:color w:val="000000"/>
                  <w:sz w:val="18"/>
                  <w:szCs w:val="18"/>
                </w:rPr>
                <w:t xml:space="preserve">In re Fosamax (Alendronate Sodium) Prods. </w:t>
              </w:r>
              <w:proofErr w:type="spellStart"/>
              <w:r>
                <w:rPr>
                  <w:i/>
                  <w:iCs/>
                  <w:color w:val="000000"/>
                  <w:sz w:val="18"/>
                  <w:szCs w:val="18"/>
                </w:rPr>
                <w:t>Liab</w:t>
              </w:r>
              <w:proofErr w:type="spellEnd"/>
              <w:r>
                <w:rPr>
                  <w:i/>
                  <w:iCs/>
                  <w:color w:val="000000"/>
                  <w:sz w:val="18"/>
                  <w:szCs w:val="18"/>
                </w:rPr>
                <w:t xml:space="preserve">. </w:t>
              </w:r>
              <w:proofErr w:type="spellStart"/>
              <w:r>
                <w:rPr>
                  <w:i/>
                  <w:iCs/>
                  <w:color w:val="000000"/>
                  <w:sz w:val="18"/>
                  <w:szCs w:val="18"/>
                </w:rPr>
                <w:t>Litig</w:t>
              </w:r>
              <w:proofErr w:type="spellEnd"/>
              <w:r>
                <w:rPr>
                  <w:i/>
                  <w:iCs/>
                  <w:color w:val="000000"/>
                  <w:sz w:val="18"/>
                  <w:szCs w:val="18"/>
                </w:rPr>
                <w:t xml:space="preserve">. (Glynn v. Merck Sharp &amp; </w:t>
              </w:r>
              <w:proofErr w:type="spellStart"/>
              <w:r>
                <w:rPr>
                  <w:i/>
                  <w:iCs/>
                  <w:color w:val="000000"/>
                  <w:sz w:val="18"/>
                  <w:szCs w:val="18"/>
                </w:rPr>
                <w:t>Dohme</w:t>
              </w:r>
              <w:proofErr w:type="spellEnd"/>
              <w:r>
                <w:rPr>
                  <w:i/>
                  <w:iCs/>
                  <w:color w:val="000000"/>
                  <w:sz w:val="18"/>
                  <w:szCs w:val="18"/>
                </w:rPr>
                <w:t xml:space="preserve"> Corp.)</w:t>
              </w:r>
              <w:r>
                <w:rPr>
                  <w:color w:val="000000"/>
                  <w:sz w:val="18"/>
                  <w:szCs w:val="18"/>
                </w:rPr>
                <w:t>, 951 F.Supp.2d 695, 700 &amp; n.5 (D.N.J. 2013)</w:t>
              </w:r>
            </w:hyperlink>
            <w:r>
              <w:rPr>
                <w:color w:val="000000"/>
                <w:sz w:val="18"/>
                <w:szCs w:val="18"/>
              </w:rPr>
              <w:t xml:space="preserve"> (hereinafter, “</w:t>
            </w:r>
            <w:hyperlink r:id="rId187" w:history="1">
              <w:r>
                <w:rPr>
                  <w:i/>
                  <w:iCs/>
                  <w:color w:val="000000"/>
                  <w:sz w:val="18"/>
                  <w:szCs w:val="18"/>
                </w:rPr>
                <w:t>Glynn</w:t>
              </w:r>
            </w:hyperlink>
            <w:r>
              <w:rPr>
                <w:color w:val="000000"/>
                <w:sz w:val="18"/>
                <w:szCs w:val="18"/>
              </w:rPr>
              <w:t>”).</w:t>
            </w:r>
          </w:p>
          <w:p w14:paraId="05F7F71E" w14:textId="77777777" w:rsidR="00793DC4" w:rsidRDefault="00793DC4">
            <w:pPr>
              <w:widowControl w:val="0"/>
              <w:autoSpaceDE w:val="0"/>
              <w:autoSpaceDN w:val="0"/>
              <w:adjustRightInd w:val="0"/>
              <w:jc w:val="both"/>
              <w:rPr>
                <w:color w:val="000000"/>
                <w:sz w:val="18"/>
                <w:szCs w:val="18"/>
              </w:rPr>
            </w:pPr>
          </w:p>
        </w:tc>
      </w:tr>
    </w:tbl>
    <w:p w14:paraId="0698FBA6"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100F2588" w14:textId="77777777">
        <w:tblPrEx>
          <w:tblCellMar>
            <w:top w:w="0" w:type="dxa"/>
            <w:left w:w="0" w:type="dxa"/>
            <w:bottom w:w="0" w:type="dxa"/>
            <w:right w:w="0" w:type="dxa"/>
          </w:tblCellMar>
        </w:tblPrEx>
        <w:tc>
          <w:tcPr>
            <w:tcW w:w="600" w:type="dxa"/>
            <w:tcBorders>
              <w:top w:val="nil"/>
              <w:left w:val="nil"/>
              <w:bottom w:val="nil"/>
              <w:right w:val="nil"/>
            </w:tcBorders>
          </w:tcPr>
          <w:bookmarkStart w:id="133" w:name="co_footnote_B00662041287330_1"/>
          <w:bookmarkEnd w:id="133"/>
          <w:p w14:paraId="35FAB72B"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"#co_footnoteReference_B00662041287330_ID0" </w:instrText>
            </w:r>
            <w:r w:rsidR="00F61700">
              <w:rPr>
                <w:color w:val="000000"/>
              </w:rPr>
            </w:r>
            <w:r>
              <w:rPr>
                <w:color w:val="000000"/>
              </w:rPr>
              <w:fldChar w:fldCharType="separate"/>
            </w:r>
            <w:r>
              <w:rPr>
                <w:color w:val="000000"/>
                <w:vertAlign w:val="superscript"/>
              </w:rPr>
              <w:t>65</w:t>
            </w:r>
            <w:r>
              <w:rPr>
                <w:color w:val="000000"/>
              </w:rPr>
              <w:fldChar w:fldCharType="end"/>
            </w:r>
          </w:p>
          <w:p w14:paraId="6E51B85F"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501B06DA" w14:textId="77777777" w:rsidR="00793DC4" w:rsidRDefault="00793DC4">
            <w:pPr>
              <w:widowControl w:val="0"/>
              <w:autoSpaceDE w:val="0"/>
              <w:autoSpaceDN w:val="0"/>
              <w:adjustRightInd w:val="0"/>
              <w:jc w:val="both"/>
              <w:rPr>
                <w:color w:val="000000"/>
                <w:sz w:val="18"/>
                <w:szCs w:val="18"/>
              </w:rPr>
            </w:pPr>
            <w:hyperlink r:id="rId188" w:history="1">
              <w:r>
                <w:rPr>
                  <w:i/>
                  <w:iCs/>
                  <w:color w:val="000000"/>
                  <w:sz w:val="18"/>
                  <w:szCs w:val="18"/>
                </w:rPr>
                <w:t>Id</w:t>
              </w:r>
              <w:r>
                <w:rPr>
                  <w:color w:val="000000"/>
                  <w:sz w:val="18"/>
                  <w:szCs w:val="18"/>
                </w:rPr>
                <w:t>. at 700-701</w:t>
              </w:r>
            </w:hyperlink>
            <w:r>
              <w:rPr>
                <w:color w:val="000000"/>
                <w:sz w:val="18"/>
                <w:szCs w:val="18"/>
              </w:rPr>
              <w:t>.</w:t>
            </w:r>
          </w:p>
          <w:p w14:paraId="37E2BA3A" w14:textId="77777777" w:rsidR="00793DC4" w:rsidRDefault="00793DC4">
            <w:pPr>
              <w:widowControl w:val="0"/>
              <w:autoSpaceDE w:val="0"/>
              <w:autoSpaceDN w:val="0"/>
              <w:adjustRightInd w:val="0"/>
              <w:jc w:val="both"/>
              <w:rPr>
                <w:color w:val="000000"/>
                <w:sz w:val="18"/>
                <w:szCs w:val="18"/>
              </w:rPr>
            </w:pPr>
          </w:p>
        </w:tc>
      </w:tr>
    </w:tbl>
    <w:p w14:paraId="301F7972"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00297CC4" w14:textId="77777777">
        <w:tblPrEx>
          <w:tblCellMar>
            <w:top w:w="0" w:type="dxa"/>
            <w:left w:w="0" w:type="dxa"/>
            <w:bottom w:w="0" w:type="dxa"/>
            <w:right w:w="0" w:type="dxa"/>
          </w:tblCellMar>
        </w:tblPrEx>
        <w:tc>
          <w:tcPr>
            <w:tcW w:w="600" w:type="dxa"/>
            <w:tcBorders>
              <w:top w:val="nil"/>
              <w:left w:val="nil"/>
              <w:bottom w:val="nil"/>
              <w:right w:val="nil"/>
            </w:tcBorders>
          </w:tcPr>
          <w:bookmarkStart w:id="134" w:name="co_footnote_B00672041287330_1"/>
          <w:bookmarkEnd w:id="134"/>
          <w:p w14:paraId="4282D63E"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"#co_footnoteReference_B00672041287330_ID0" </w:instrText>
            </w:r>
            <w:r w:rsidR="00F61700">
              <w:rPr>
                <w:color w:val="000000"/>
              </w:rPr>
            </w:r>
            <w:r>
              <w:rPr>
                <w:color w:val="000000"/>
              </w:rPr>
              <w:fldChar w:fldCharType="separate"/>
            </w:r>
            <w:r>
              <w:rPr>
                <w:color w:val="000000"/>
                <w:vertAlign w:val="superscript"/>
              </w:rPr>
              <w:t>66</w:t>
            </w:r>
            <w:r>
              <w:rPr>
                <w:color w:val="000000"/>
              </w:rPr>
              <w:fldChar w:fldCharType="end"/>
            </w:r>
          </w:p>
          <w:p w14:paraId="3061DB78"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352D675B" w14:textId="77777777" w:rsidR="00793DC4" w:rsidRDefault="00793DC4">
            <w:pPr>
              <w:widowControl w:val="0"/>
              <w:autoSpaceDE w:val="0"/>
              <w:autoSpaceDN w:val="0"/>
              <w:adjustRightInd w:val="0"/>
              <w:jc w:val="both"/>
              <w:rPr>
                <w:color w:val="000000"/>
                <w:sz w:val="18"/>
                <w:szCs w:val="18"/>
              </w:rPr>
            </w:pPr>
            <w:hyperlink r:id="rId189" w:history="1">
              <w:r>
                <w:rPr>
                  <w:i/>
                  <w:iCs/>
                  <w:color w:val="000000"/>
                  <w:sz w:val="18"/>
                  <w:szCs w:val="18"/>
                </w:rPr>
                <w:t>Id</w:t>
              </w:r>
              <w:r>
                <w:rPr>
                  <w:color w:val="000000"/>
                  <w:sz w:val="18"/>
                  <w:szCs w:val="18"/>
                </w:rPr>
                <w:t>. at 701</w:t>
              </w:r>
            </w:hyperlink>
            <w:r>
              <w:rPr>
                <w:color w:val="000000"/>
                <w:sz w:val="18"/>
                <w:szCs w:val="18"/>
              </w:rPr>
              <w:t>.</w:t>
            </w:r>
          </w:p>
          <w:p w14:paraId="29E2E2F4" w14:textId="77777777" w:rsidR="00793DC4" w:rsidRDefault="00793DC4">
            <w:pPr>
              <w:widowControl w:val="0"/>
              <w:autoSpaceDE w:val="0"/>
              <w:autoSpaceDN w:val="0"/>
              <w:adjustRightInd w:val="0"/>
              <w:jc w:val="both"/>
              <w:rPr>
                <w:color w:val="000000"/>
                <w:sz w:val="18"/>
                <w:szCs w:val="18"/>
              </w:rPr>
            </w:pPr>
          </w:p>
        </w:tc>
      </w:tr>
    </w:tbl>
    <w:p w14:paraId="52A421AD"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2595292C" w14:textId="77777777">
        <w:tblPrEx>
          <w:tblCellMar>
            <w:top w:w="0" w:type="dxa"/>
            <w:left w:w="0" w:type="dxa"/>
            <w:bottom w:w="0" w:type="dxa"/>
            <w:right w:w="0" w:type="dxa"/>
          </w:tblCellMar>
        </w:tblPrEx>
        <w:tc>
          <w:tcPr>
            <w:tcW w:w="600" w:type="dxa"/>
            <w:tcBorders>
              <w:top w:val="nil"/>
              <w:left w:val="nil"/>
              <w:bottom w:val="nil"/>
              <w:right w:val="nil"/>
            </w:tcBorders>
          </w:tcPr>
          <w:bookmarkStart w:id="135" w:name="co_footnote_B00682041287330_1"/>
          <w:bookmarkEnd w:id="135"/>
          <w:p w14:paraId="7DACC5B5"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"#co_footnoteReference_B00682041287330_ID0" </w:instrText>
            </w:r>
            <w:r w:rsidR="00F61700">
              <w:rPr>
                <w:color w:val="000000"/>
              </w:rPr>
            </w:r>
            <w:r>
              <w:rPr>
                <w:color w:val="000000"/>
              </w:rPr>
              <w:fldChar w:fldCharType="separate"/>
            </w:r>
            <w:r>
              <w:rPr>
                <w:color w:val="000000"/>
                <w:vertAlign w:val="superscript"/>
              </w:rPr>
              <w:t>67</w:t>
            </w:r>
            <w:r>
              <w:rPr>
                <w:color w:val="000000"/>
              </w:rPr>
              <w:fldChar w:fldCharType="end"/>
            </w:r>
          </w:p>
          <w:p w14:paraId="6829B380"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22D8345B" w14:textId="77777777" w:rsidR="00793DC4" w:rsidRDefault="00793DC4">
            <w:pPr>
              <w:widowControl w:val="0"/>
              <w:autoSpaceDE w:val="0"/>
              <w:autoSpaceDN w:val="0"/>
              <w:adjustRightInd w:val="0"/>
              <w:jc w:val="both"/>
              <w:rPr>
                <w:color w:val="000000"/>
                <w:sz w:val="18"/>
                <w:szCs w:val="18"/>
              </w:rPr>
            </w:pPr>
            <w:hyperlink r:id="rId190" w:history="1">
              <w:r>
                <w:rPr>
                  <w:i/>
                  <w:iCs/>
                  <w:color w:val="000000"/>
                  <w:sz w:val="18"/>
                  <w:szCs w:val="18"/>
                </w:rPr>
                <w:t>Id</w:t>
              </w:r>
              <w:r>
                <w:rPr>
                  <w:color w:val="000000"/>
                  <w:sz w:val="18"/>
                  <w:szCs w:val="18"/>
                </w:rPr>
                <w:t>.</w:t>
              </w:r>
            </w:hyperlink>
          </w:p>
          <w:p w14:paraId="5B5D4E64" w14:textId="77777777" w:rsidR="00793DC4" w:rsidRDefault="00793DC4">
            <w:pPr>
              <w:widowControl w:val="0"/>
              <w:autoSpaceDE w:val="0"/>
              <w:autoSpaceDN w:val="0"/>
              <w:adjustRightInd w:val="0"/>
              <w:jc w:val="both"/>
              <w:rPr>
                <w:color w:val="000000"/>
                <w:sz w:val="18"/>
                <w:szCs w:val="18"/>
              </w:rPr>
            </w:pPr>
          </w:p>
        </w:tc>
      </w:tr>
    </w:tbl>
    <w:p w14:paraId="66594477" w14:textId="77777777" w:rsidR="00793DC4" w:rsidRDefault="00793DC4">
      <w:pPr>
        <w:widowControl w:val="0"/>
        <w:autoSpaceDE w:val="0"/>
        <w:autoSpaceDN w:val="0"/>
        <w:adjustRightInd w:val="0"/>
        <w:jc w:val="both"/>
        <w:rPr>
          <w:color w:val="000000"/>
        </w:rPr>
      </w:pPr>
    </w:p>
    <w:p w14:paraId="09A46E03" w14:textId="77777777" w:rsidR="00793DC4" w:rsidRDefault="00793DC4">
      <w:pPr>
        <w:widowControl w:val="0"/>
        <w:autoSpaceDE w:val="0"/>
        <w:autoSpaceDN w:val="0"/>
        <w:adjustRightInd w:val="0"/>
        <w:jc w:val="both"/>
        <w:rPr>
          <w:color w:val="000000"/>
          <w:sz w:val="16"/>
          <w:szCs w:val="16"/>
        </w:rPr>
      </w:pPr>
      <w:r>
        <w:rPr>
          <w:color w:val="000000"/>
        </w:rPr>
        <w:t xml:space="preserve">In June 2013, the District Court issued an opinion concluding that </w:t>
      </w:r>
      <w:proofErr w:type="gramStart"/>
      <w:r>
        <w:rPr>
          <w:color w:val="000000"/>
        </w:rPr>
        <w:t xml:space="preserve">the </w:t>
      </w:r>
      <w:proofErr w:type="spellStart"/>
      <w:r>
        <w:rPr>
          <w:color w:val="000000"/>
        </w:rPr>
        <w:t>Glynns</w:t>
      </w:r>
      <w:proofErr w:type="spellEnd"/>
      <w:r>
        <w:rPr>
          <w:color w:val="000000"/>
        </w:rPr>
        <w:t>’ failure-to-warn claim was preempted by federal law</w:t>
      </w:r>
      <w:proofErr w:type="gramEnd"/>
      <w:r>
        <w:rPr>
          <w:color w:val="000000"/>
        </w:rPr>
        <w:t xml:space="preserve">. Applying the Supreme Court’s decision in </w:t>
      </w:r>
      <w:hyperlink r:id="rId191" w:history="1">
        <w:r>
          <w:rPr>
            <w:i/>
            <w:iCs/>
            <w:color w:val="000000"/>
          </w:rPr>
          <w:t>Wyeth</w:t>
        </w:r>
      </w:hyperlink>
      <w:r>
        <w:rPr>
          <w:color w:val="000000"/>
        </w:rPr>
        <w:t>, the court stated that state-law failure-to-warn claims are preempted when “there is ‘clear evidence that the FDA would not have approved a change’ to the prescription drug’s label.”</w:t>
      </w:r>
      <w:bookmarkStart w:id="136" w:name="co_footnoteReference_B00692041287330_ID0"/>
      <w:bookmarkEnd w:id="136"/>
      <w:r>
        <w:rPr>
          <w:color w:val="000000"/>
          <w:sz w:val="16"/>
          <w:szCs w:val="16"/>
        </w:rPr>
        <w:fldChar w:fldCharType="begin"/>
      </w:r>
      <w:r>
        <w:rPr>
          <w:color w:val="000000"/>
          <w:sz w:val="16"/>
          <w:szCs w:val="16"/>
        </w:rPr>
        <w:instrText xml:space="preserve">HYPERLINK "#co_footnote_B00692041287330_1" </w:instrText>
      </w:r>
      <w:r w:rsidR="00F61700">
        <w:rPr>
          <w:color w:val="000000"/>
          <w:sz w:val="16"/>
          <w:szCs w:val="16"/>
        </w:rPr>
      </w:r>
      <w:r>
        <w:rPr>
          <w:color w:val="000000"/>
          <w:sz w:val="16"/>
          <w:szCs w:val="16"/>
        </w:rPr>
        <w:fldChar w:fldCharType="separate"/>
      </w:r>
      <w:r>
        <w:rPr>
          <w:color w:val="000000"/>
          <w:sz w:val="16"/>
          <w:szCs w:val="16"/>
          <w:vertAlign w:val="superscript"/>
        </w:rPr>
        <w:t>68</w:t>
      </w:r>
      <w:r>
        <w:rPr>
          <w:color w:val="000000"/>
          <w:sz w:val="16"/>
          <w:szCs w:val="16"/>
        </w:rPr>
        <w:fldChar w:fldCharType="end"/>
      </w:r>
      <w:r>
        <w:rPr>
          <w:color w:val="000000"/>
        </w:rPr>
        <w:t xml:space="preserve"> The District Court concluded that the </w:t>
      </w:r>
      <w:proofErr w:type="spellStart"/>
      <w:r>
        <w:rPr>
          <w:color w:val="000000"/>
        </w:rPr>
        <w:t>Glynns</w:t>
      </w:r>
      <w:proofErr w:type="spellEnd"/>
      <w:r>
        <w:rPr>
          <w:color w:val="000000"/>
        </w:rPr>
        <w:t>’ claim was preempted because the FDA’s May 2009 denial of Merck’s request to add language about atypical femur fractures to the Warnings and Precautions section of the label was “clear evidence that the FDA would not have approved a label change to the Precautions section of the label prior to Ms. Glynn’s injury.”</w:t>
      </w:r>
      <w:bookmarkStart w:id="137" w:name="co_footnoteReference_B00702041287330_ID0"/>
      <w:bookmarkEnd w:id="137"/>
      <w:r>
        <w:rPr>
          <w:color w:val="000000"/>
          <w:sz w:val="16"/>
          <w:szCs w:val="16"/>
        </w:rPr>
        <w:fldChar w:fldCharType="begin"/>
      </w:r>
      <w:r>
        <w:rPr>
          <w:color w:val="000000"/>
          <w:sz w:val="16"/>
          <w:szCs w:val="16"/>
        </w:rPr>
        <w:instrText xml:space="preserve">HYPERLINK "#co_footnote_B00702041287330_1" </w:instrText>
      </w:r>
      <w:r w:rsidR="00F61700">
        <w:rPr>
          <w:color w:val="000000"/>
          <w:sz w:val="16"/>
          <w:szCs w:val="16"/>
        </w:rPr>
      </w:r>
      <w:r>
        <w:rPr>
          <w:color w:val="000000"/>
          <w:sz w:val="16"/>
          <w:szCs w:val="16"/>
        </w:rPr>
        <w:fldChar w:fldCharType="separate"/>
      </w:r>
      <w:r>
        <w:rPr>
          <w:color w:val="000000"/>
          <w:sz w:val="16"/>
          <w:szCs w:val="16"/>
          <w:vertAlign w:val="superscript"/>
        </w:rPr>
        <w:t>69</w:t>
      </w:r>
      <w:r>
        <w:rPr>
          <w:color w:val="000000"/>
          <w:sz w:val="16"/>
          <w:szCs w:val="16"/>
        </w:rPr>
        <w:fldChar w:fldCharType="end"/>
      </w:r>
    </w:p>
    <w:p w14:paraId="041D2855"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0C1BBF57" w14:textId="77777777">
        <w:tblPrEx>
          <w:tblCellMar>
            <w:top w:w="0" w:type="dxa"/>
            <w:left w:w="0" w:type="dxa"/>
            <w:bottom w:w="0" w:type="dxa"/>
            <w:right w:w="0" w:type="dxa"/>
          </w:tblCellMar>
        </w:tblPrEx>
        <w:tc>
          <w:tcPr>
            <w:tcW w:w="600" w:type="dxa"/>
            <w:tcBorders>
              <w:top w:val="nil"/>
              <w:left w:val="nil"/>
              <w:bottom w:val="nil"/>
              <w:right w:val="nil"/>
            </w:tcBorders>
          </w:tcPr>
          <w:bookmarkStart w:id="138" w:name="co_footnote_B00692041287330_1"/>
          <w:bookmarkEnd w:id="138"/>
          <w:p w14:paraId="6DA1040A"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"#co_footnoteReference_B00692041287330_ID0" </w:instrText>
            </w:r>
            <w:r w:rsidR="00F61700">
              <w:rPr>
                <w:color w:val="000000"/>
              </w:rPr>
            </w:r>
            <w:r>
              <w:rPr>
                <w:color w:val="000000"/>
              </w:rPr>
              <w:fldChar w:fldCharType="separate"/>
            </w:r>
            <w:r>
              <w:rPr>
                <w:color w:val="000000"/>
                <w:vertAlign w:val="superscript"/>
              </w:rPr>
              <w:t>68</w:t>
            </w:r>
            <w:r>
              <w:rPr>
                <w:color w:val="000000"/>
              </w:rPr>
              <w:fldChar w:fldCharType="end"/>
            </w:r>
          </w:p>
          <w:p w14:paraId="5524F88E"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0660426C" w14:textId="77777777" w:rsidR="00793DC4" w:rsidRDefault="00793DC4">
            <w:pPr>
              <w:widowControl w:val="0"/>
              <w:autoSpaceDE w:val="0"/>
              <w:autoSpaceDN w:val="0"/>
              <w:adjustRightInd w:val="0"/>
              <w:jc w:val="both"/>
              <w:rPr>
                <w:color w:val="000000"/>
                <w:sz w:val="18"/>
                <w:szCs w:val="18"/>
              </w:rPr>
            </w:pPr>
            <w:hyperlink r:id="rId192" w:history="1">
              <w:r>
                <w:rPr>
                  <w:i/>
                  <w:iCs/>
                  <w:color w:val="000000"/>
                  <w:sz w:val="18"/>
                  <w:szCs w:val="18"/>
                </w:rPr>
                <w:t>Glynn</w:t>
              </w:r>
              <w:r>
                <w:rPr>
                  <w:color w:val="000000"/>
                  <w:sz w:val="18"/>
                  <w:szCs w:val="18"/>
                </w:rPr>
                <w:t>, 951 F.Supp.2d at 702</w:t>
              </w:r>
            </w:hyperlink>
            <w:r>
              <w:rPr>
                <w:color w:val="000000"/>
                <w:sz w:val="18"/>
                <w:szCs w:val="18"/>
              </w:rPr>
              <w:t xml:space="preserve"> (quoting </w:t>
            </w:r>
            <w:hyperlink r:id="rId193" w:history="1">
              <w:r>
                <w:rPr>
                  <w:i/>
                  <w:iCs/>
                  <w:color w:val="000000"/>
                  <w:sz w:val="18"/>
                  <w:szCs w:val="18"/>
                </w:rPr>
                <w:t>Wyeth</w:t>
              </w:r>
              <w:r>
                <w:rPr>
                  <w:color w:val="000000"/>
                  <w:sz w:val="18"/>
                  <w:szCs w:val="18"/>
                </w:rPr>
                <w:t xml:space="preserve">, 555 U.S. at 571, 129 </w:t>
              </w:r>
              <w:proofErr w:type="spellStart"/>
              <w:r>
                <w:rPr>
                  <w:color w:val="000000"/>
                  <w:sz w:val="18"/>
                  <w:szCs w:val="18"/>
                </w:rPr>
                <w:t>S.Ct</w:t>
              </w:r>
              <w:proofErr w:type="spellEnd"/>
              <w:r>
                <w:rPr>
                  <w:color w:val="000000"/>
                  <w:sz w:val="18"/>
                  <w:szCs w:val="18"/>
                </w:rPr>
                <w:t>. 1187</w:t>
              </w:r>
            </w:hyperlink>
            <w:r>
              <w:rPr>
                <w:color w:val="000000"/>
                <w:sz w:val="18"/>
                <w:szCs w:val="18"/>
              </w:rPr>
              <w:t>).</w:t>
            </w:r>
          </w:p>
          <w:p w14:paraId="35E0CCC0" w14:textId="77777777" w:rsidR="00793DC4" w:rsidRDefault="00793DC4">
            <w:pPr>
              <w:widowControl w:val="0"/>
              <w:autoSpaceDE w:val="0"/>
              <w:autoSpaceDN w:val="0"/>
              <w:adjustRightInd w:val="0"/>
              <w:jc w:val="both"/>
              <w:rPr>
                <w:color w:val="000000"/>
                <w:sz w:val="18"/>
                <w:szCs w:val="18"/>
              </w:rPr>
            </w:pPr>
          </w:p>
        </w:tc>
      </w:tr>
    </w:tbl>
    <w:p w14:paraId="1F881B10"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367391B7" w14:textId="77777777">
        <w:tblPrEx>
          <w:tblCellMar>
            <w:top w:w="0" w:type="dxa"/>
            <w:left w:w="0" w:type="dxa"/>
            <w:bottom w:w="0" w:type="dxa"/>
            <w:right w:w="0" w:type="dxa"/>
          </w:tblCellMar>
        </w:tblPrEx>
        <w:tc>
          <w:tcPr>
            <w:tcW w:w="600" w:type="dxa"/>
            <w:tcBorders>
              <w:top w:val="nil"/>
              <w:left w:val="nil"/>
              <w:bottom w:val="nil"/>
              <w:right w:val="nil"/>
            </w:tcBorders>
          </w:tcPr>
          <w:bookmarkStart w:id="139" w:name="co_footnote_B00702041287330_1"/>
          <w:bookmarkEnd w:id="139"/>
          <w:p w14:paraId="4382FFF7"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"#co_footnoteReference_B00702041287330_ID0" </w:instrText>
            </w:r>
            <w:r w:rsidR="00F61700">
              <w:rPr>
                <w:color w:val="000000"/>
              </w:rPr>
            </w:r>
            <w:r>
              <w:rPr>
                <w:color w:val="000000"/>
              </w:rPr>
              <w:fldChar w:fldCharType="separate"/>
            </w:r>
            <w:r>
              <w:rPr>
                <w:color w:val="000000"/>
                <w:vertAlign w:val="superscript"/>
              </w:rPr>
              <w:t>69</w:t>
            </w:r>
            <w:r>
              <w:rPr>
                <w:color w:val="000000"/>
              </w:rPr>
              <w:fldChar w:fldCharType="end"/>
            </w:r>
          </w:p>
          <w:p w14:paraId="13A287B1"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5D3C466C" w14:textId="77777777" w:rsidR="00793DC4" w:rsidRDefault="00793DC4">
            <w:pPr>
              <w:widowControl w:val="0"/>
              <w:autoSpaceDE w:val="0"/>
              <w:autoSpaceDN w:val="0"/>
              <w:adjustRightInd w:val="0"/>
              <w:jc w:val="both"/>
              <w:rPr>
                <w:color w:val="000000"/>
                <w:sz w:val="18"/>
                <w:szCs w:val="18"/>
              </w:rPr>
            </w:pPr>
            <w:hyperlink r:id="rId194" w:history="1">
              <w:r>
                <w:rPr>
                  <w:i/>
                  <w:iCs/>
                  <w:color w:val="000000"/>
                  <w:sz w:val="18"/>
                  <w:szCs w:val="18"/>
                </w:rPr>
                <w:t>Id</w:t>
              </w:r>
              <w:r>
                <w:rPr>
                  <w:color w:val="000000"/>
                  <w:sz w:val="18"/>
                  <w:szCs w:val="18"/>
                </w:rPr>
                <w:t>. at 703</w:t>
              </w:r>
            </w:hyperlink>
            <w:r>
              <w:rPr>
                <w:color w:val="000000"/>
                <w:sz w:val="18"/>
                <w:szCs w:val="18"/>
              </w:rPr>
              <w:t>.</w:t>
            </w:r>
          </w:p>
          <w:p w14:paraId="6C66951E" w14:textId="77777777" w:rsidR="00793DC4" w:rsidRDefault="00793DC4">
            <w:pPr>
              <w:widowControl w:val="0"/>
              <w:autoSpaceDE w:val="0"/>
              <w:autoSpaceDN w:val="0"/>
              <w:adjustRightInd w:val="0"/>
              <w:jc w:val="both"/>
              <w:rPr>
                <w:color w:val="000000"/>
                <w:sz w:val="18"/>
                <w:szCs w:val="18"/>
              </w:rPr>
            </w:pPr>
          </w:p>
        </w:tc>
      </w:tr>
    </w:tbl>
    <w:p w14:paraId="0AA9F007" w14:textId="77777777" w:rsidR="00793DC4" w:rsidRDefault="00793DC4">
      <w:pPr>
        <w:widowControl w:val="0"/>
        <w:autoSpaceDE w:val="0"/>
        <w:autoSpaceDN w:val="0"/>
        <w:adjustRightInd w:val="0"/>
        <w:jc w:val="both"/>
        <w:rPr>
          <w:color w:val="000000"/>
        </w:rPr>
      </w:pPr>
    </w:p>
    <w:p w14:paraId="3469E827" w14:textId="77777777" w:rsidR="00793DC4" w:rsidRDefault="00793DC4">
      <w:pPr>
        <w:widowControl w:val="0"/>
        <w:autoSpaceDE w:val="0"/>
        <w:autoSpaceDN w:val="0"/>
        <w:adjustRightInd w:val="0"/>
        <w:jc w:val="both"/>
        <w:rPr>
          <w:color w:val="000000"/>
          <w:sz w:val="16"/>
          <w:szCs w:val="16"/>
        </w:rPr>
      </w:pPr>
      <w:r>
        <w:rPr>
          <w:color w:val="000000"/>
        </w:rPr>
        <w:t xml:space="preserve">Shortly after the </w:t>
      </w:r>
      <w:hyperlink r:id="rId195" w:history="1">
        <w:r>
          <w:rPr>
            <w:i/>
            <w:iCs/>
            <w:color w:val="000000"/>
          </w:rPr>
          <w:t>Glynn</w:t>
        </w:r>
      </w:hyperlink>
      <w:r>
        <w:rPr>
          <w:color w:val="000000"/>
        </w:rPr>
        <w:t xml:space="preserve"> decision, Merck moved for an order to show cause why all the cases in the MDL alleging injuries prior to the release of the September 2010 task force report should not be dismissed on preemption grounds. </w:t>
      </w:r>
      <w:r w:rsidRPr="00DD3B65">
        <w:rPr>
          <w:color w:val="000000"/>
          <w:highlight w:val="yellow"/>
        </w:rPr>
        <w:t>Plaintiffs opposed the motion on the ground that resolving their claims through a show-cause procedure would violate their due process right to individual trials.</w:t>
      </w:r>
      <w:r>
        <w:rPr>
          <w:color w:val="000000"/>
        </w:rPr>
        <w:t xml:space="preserve"> In August 2013, the District Court issued an Order to Show Cause why the pre-September 2010 claims </w:t>
      </w:r>
      <w:r>
        <w:rPr>
          <w:b/>
          <w:bCs/>
          <w:color w:val="000000"/>
        </w:rPr>
        <w:t>*281</w:t>
      </w:r>
      <w:r>
        <w:rPr>
          <w:color w:val="000000"/>
        </w:rPr>
        <w:t xml:space="preserve"> should not be dismissed on preemption grounds, and the parties submitted briefing. Although </w:t>
      </w:r>
      <w:r w:rsidRPr="00DD3B65">
        <w:rPr>
          <w:color w:val="000000"/>
          <w:highlight w:val="yellow"/>
        </w:rPr>
        <w:t>both sides disputed the propriety of the show-cause procedure</w:t>
      </w:r>
      <w:r>
        <w:rPr>
          <w:color w:val="000000"/>
        </w:rPr>
        <w:t xml:space="preserve"> and the substance of Merck’s preemption arguments, the parties and the District Court all agreed that </w:t>
      </w:r>
      <w:hyperlink r:id="rId196" w:history="1">
        <w:r>
          <w:rPr>
            <w:color w:val="000000"/>
          </w:rPr>
          <w:t>Federal Rule of Civil Procedure 56</w:t>
        </w:r>
      </w:hyperlink>
      <w:r>
        <w:rPr>
          <w:color w:val="000000"/>
        </w:rPr>
        <w:t xml:space="preserve"> “provides the exclusive mechanism by which the Court can resolve the dispositive issues presented by Merck’s preemption defense before trial(s).”</w:t>
      </w:r>
      <w:bookmarkStart w:id="140" w:name="co_footnoteReference_B00712041287330_ID0"/>
      <w:bookmarkEnd w:id="140"/>
      <w:r>
        <w:rPr>
          <w:color w:val="000000"/>
          <w:sz w:val="16"/>
          <w:szCs w:val="16"/>
        </w:rPr>
        <w:fldChar w:fldCharType="begin"/>
      </w:r>
      <w:r>
        <w:rPr>
          <w:color w:val="000000"/>
          <w:sz w:val="16"/>
          <w:szCs w:val="16"/>
        </w:rPr>
        <w:instrText xml:space="preserve">HYPERLINK "#co_footnote_B00712041287330_1" </w:instrText>
      </w:r>
      <w:r w:rsidR="00F61700">
        <w:rPr>
          <w:color w:val="000000"/>
          <w:sz w:val="16"/>
          <w:szCs w:val="16"/>
        </w:rPr>
      </w:r>
      <w:r>
        <w:rPr>
          <w:color w:val="000000"/>
          <w:sz w:val="16"/>
          <w:szCs w:val="16"/>
        </w:rPr>
        <w:fldChar w:fldCharType="separate"/>
      </w:r>
      <w:r>
        <w:rPr>
          <w:color w:val="000000"/>
          <w:sz w:val="16"/>
          <w:szCs w:val="16"/>
          <w:vertAlign w:val="superscript"/>
        </w:rPr>
        <w:t>70</w:t>
      </w:r>
      <w:r>
        <w:rPr>
          <w:color w:val="000000"/>
          <w:sz w:val="16"/>
          <w:szCs w:val="16"/>
        </w:rPr>
        <w:fldChar w:fldCharType="end"/>
      </w:r>
    </w:p>
    <w:p w14:paraId="5DFBEF11"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1045B885" w14:textId="77777777">
        <w:tblPrEx>
          <w:tblCellMar>
            <w:top w:w="0" w:type="dxa"/>
            <w:left w:w="0" w:type="dxa"/>
            <w:bottom w:w="0" w:type="dxa"/>
            <w:right w:w="0" w:type="dxa"/>
          </w:tblCellMar>
        </w:tblPrEx>
        <w:tc>
          <w:tcPr>
            <w:tcW w:w="600" w:type="dxa"/>
            <w:tcBorders>
              <w:top w:val="nil"/>
              <w:left w:val="nil"/>
              <w:bottom w:val="nil"/>
              <w:right w:val="nil"/>
            </w:tcBorders>
          </w:tcPr>
          <w:bookmarkStart w:id="141" w:name="co_footnote_B00712041287330_1"/>
          <w:bookmarkEnd w:id="141"/>
          <w:p w14:paraId="250F4348"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"#co_footnoteReference_B00712041287330_ID0" </w:instrText>
            </w:r>
            <w:r w:rsidR="00F61700">
              <w:rPr>
                <w:color w:val="000000"/>
              </w:rPr>
            </w:r>
            <w:r>
              <w:rPr>
                <w:color w:val="000000"/>
              </w:rPr>
              <w:fldChar w:fldCharType="separate"/>
            </w:r>
            <w:r>
              <w:rPr>
                <w:color w:val="000000"/>
                <w:vertAlign w:val="superscript"/>
              </w:rPr>
              <w:t>70</w:t>
            </w:r>
            <w:r>
              <w:rPr>
                <w:color w:val="000000"/>
              </w:rPr>
              <w:fldChar w:fldCharType="end"/>
            </w:r>
          </w:p>
          <w:p w14:paraId="5594EE68"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4D8AF009" w14:textId="77777777" w:rsidR="00793DC4" w:rsidRDefault="00793DC4">
            <w:pPr>
              <w:widowControl w:val="0"/>
              <w:autoSpaceDE w:val="0"/>
              <w:autoSpaceDN w:val="0"/>
              <w:adjustRightInd w:val="0"/>
              <w:jc w:val="both"/>
              <w:rPr>
                <w:color w:val="000000"/>
                <w:sz w:val="18"/>
                <w:szCs w:val="18"/>
              </w:rPr>
            </w:pPr>
            <w:hyperlink r:id="rId197" w:history="1">
              <w:r>
                <w:rPr>
                  <w:i/>
                  <w:iCs/>
                  <w:color w:val="000000"/>
                  <w:sz w:val="18"/>
                  <w:szCs w:val="18"/>
                </w:rPr>
                <w:t xml:space="preserve">In re Fosamax (Alendronate Sodium):  Prods. </w:t>
              </w:r>
              <w:proofErr w:type="spellStart"/>
              <w:r>
                <w:rPr>
                  <w:i/>
                  <w:iCs/>
                  <w:color w:val="000000"/>
                  <w:sz w:val="18"/>
                  <w:szCs w:val="18"/>
                </w:rPr>
                <w:t>Liab</w:t>
              </w:r>
              <w:proofErr w:type="spellEnd"/>
              <w:r>
                <w:rPr>
                  <w:i/>
                  <w:iCs/>
                  <w:color w:val="000000"/>
                  <w:sz w:val="18"/>
                  <w:szCs w:val="18"/>
                </w:rPr>
                <w:t xml:space="preserve">. </w:t>
              </w:r>
              <w:proofErr w:type="spellStart"/>
              <w:r>
                <w:rPr>
                  <w:i/>
                  <w:iCs/>
                  <w:color w:val="000000"/>
                  <w:sz w:val="18"/>
                  <w:szCs w:val="18"/>
                </w:rPr>
                <w:t>Litig</w:t>
              </w:r>
              <w:proofErr w:type="spellEnd"/>
              <w:proofErr w:type="gramStart"/>
              <w:r>
                <w:rPr>
                  <w:i/>
                  <w:iCs/>
                  <w:color w:val="000000"/>
                  <w:sz w:val="18"/>
                  <w:szCs w:val="18"/>
                </w:rPr>
                <w:t>.</w:t>
              </w:r>
              <w:r>
                <w:rPr>
                  <w:color w:val="000000"/>
                  <w:sz w:val="18"/>
                  <w:szCs w:val="18"/>
                </w:rPr>
                <w:t>,</w:t>
              </w:r>
              <w:proofErr w:type="gramEnd"/>
              <w:r>
                <w:rPr>
                  <w:color w:val="000000"/>
                  <w:sz w:val="18"/>
                  <w:szCs w:val="18"/>
                </w:rPr>
                <w:t xml:space="preserve"> MDL No. 2243, Master </w:t>
              </w:r>
              <w:proofErr w:type="spellStart"/>
              <w:r>
                <w:rPr>
                  <w:color w:val="000000"/>
                  <w:sz w:val="18"/>
                  <w:szCs w:val="18"/>
                </w:rPr>
                <w:t>Dkt</w:t>
              </w:r>
              <w:proofErr w:type="spellEnd"/>
              <w:r>
                <w:rPr>
                  <w:color w:val="000000"/>
                  <w:sz w:val="18"/>
                  <w:szCs w:val="18"/>
                </w:rPr>
                <w:t>. No. 08-08 (JAP)(LHG), 2014 WL 1266994, at *8 (D.N.J. Mar. 26, 2014)</w:t>
              </w:r>
            </w:hyperlink>
            <w:r>
              <w:rPr>
                <w:color w:val="000000"/>
                <w:sz w:val="18"/>
                <w:szCs w:val="18"/>
              </w:rPr>
              <w:t xml:space="preserve"> (hereinafter, “</w:t>
            </w:r>
            <w:hyperlink r:id="rId198" w:history="1">
              <w:r>
                <w:rPr>
                  <w:i/>
                  <w:iCs/>
                  <w:color w:val="000000"/>
                  <w:sz w:val="18"/>
                  <w:szCs w:val="18"/>
                </w:rPr>
                <w:t>Summary Judgment Order</w:t>
              </w:r>
            </w:hyperlink>
            <w:r>
              <w:rPr>
                <w:color w:val="000000"/>
                <w:sz w:val="18"/>
                <w:szCs w:val="18"/>
              </w:rPr>
              <w:t xml:space="preserve">”). The parties continue to agree that </w:t>
            </w:r>
            <w:hyperlink r:id="rId199" w:history="1">
              <w:r>
                <w:rPr>
                  <w:color w:val="000000"/>
                  <w:sz w:val="18"/>
                  <w:szCs w:val="18"/>
                </w:rPr>
                <w:t>Rule 56</w:t>
              </w:r>
            </w:hyperlink>
            <w:r>
              <w:rPr>
                <w:color w:val="000000"/>
                <w:sz w:val="18"/>
                <w:szCs w:val="18"/>
              </w:rPr>
              <w:t xml:space="preserve"> is the proper framework to apply, although they dispute how to apportion the parties’ burdens of production and persuasion.</w:t>
            </w:r>
          </w:p>
          <w:p w14:paraId="66276475" w14:textId="77777777" w:rsidR="00793DC4" w:rsidRDefault="00793DC4">
            <w:pPr>
              <w:widowControl w:val="0"/>
              <w:autoSpaceDE w:val="0"/>
              <w:autoSpaceDN w:val="0"/>
              <w:adjustRightInd w:val="0"/>
              <w:jc w:val="both"/>
              <w:rPr>
                <w:color w:val="000000"/>
                <w:sz w:val="18"/>
                <w:szCs w:val="18"/>
              </w:rPr>
            </w:pPr>
          </w:p>
        </w:tc>
      </w:tr>
    </w:tbl>
    <w:p w14:paraId="5DC47BE3" w14:textId="77777777" w:rsidR="00793DC4" w:rsidRDefault="00793DC4">
      <w:pPr>
        <w:widowControl w:val="0"/>
        <w:autoSpaceDE w:val="0"/>
        <w:autoSpaceDN w:val="0"/>
        <w:adjustRightInd w:val="0"/>
        <w:jc w:val="both"/>
        <w:rPr>
          <w:color w:val="000000"/>
        </w:rPr>
      </w:pPr>
    </w:p>
    <w:p w14:paraId="55D1AECC" w14:textId="77777777" w:rsidR="00793DC4" w:rsidRDefault="00793DC4">
      <w:pPr>
        <w:widowControl w:val="0"/>
        <w:autoSpaceDE w:val="0"/>
        <w:autoSpaceDN w:val="0"/>
        <w:adjustRightInd w:val="0"/>
        <w:jc w:val="both"/>
        <w:rPr>
          <w:color w:val="000000"/>
        </w:rPr>
      </w:pPr>
      <w:r>
        <w:rPr>
          <w:color w:val="000000"/>
        </w:rPr>
        <w:t xml:space="preserve">After briefing, the District Court granted summary judgment to Merck and ruled that all claims made by plaintiffs who were injured prior to September 14, 2010 were preempted under </w:t>
      </w:r>
      <w:hyperlink r:id="rId200" w:history="1">
        <w:r>
          <w:rPr>
            <w:i/>
            <w:iCs/>
            <w:color w:val="000000"/>
          </w:rPr>
          <w:t>Wyeth</w:t>
        </w:r>
      </w:hyperlink>
      <w:r>
        <w:rPr>
          <w:color w:val="000000"/>
        </w:rPr>
        <w:t xml:space="preserve">. Specifically, the court ruled that: (1) Merck had met its initial burden of demonstrating that there was no genuine issue of material fact as to preemption in </w:t>
      </w:r>
      <w:hyperlink r:id="rId201" w:history="1">
        <w:r>
          <w:rPr>
            <w:i/>
            <w:iCs/>
            <w:color w:val="000000"/>
          </w:rPr>
          <w:t>Glynn</w:t>
        </w:r>
      </w:hyperlink>
      <w:r>
        <w:rPr>
          <w:color w:val="000000"/>
        </w:rPr>
        <w:t xml:space="preserve">, and that Plaintiffs therefore bore the burden of producing a genuine issue for trial; (2) Plaintiffs had failed to create a genuine issue as to preemption; (3) it was proper to use a show-cause proceeding to apply the </w:t>
      </w:r>
      <w:hyperlink r:id="rId202" w:history="1">
        <w:r>
          <w:rPr>
            <w:i/>
            <w:iCs/>
            <w:color w:val="000000"/>
          </w:rPr>
          <w:t>Glynn</w:t>
        </w:r>
      </w:hyperlink>
      <w:r>
        <w:rPr>
          <w:color w:val="000000"/>
        </w:rPr>
        <w:t xml:space="preserve"> preemption ruling to other MDL cases; (4) Plaintiffs’ design-defect and other non-warning claims were also preempted because they sounded in failure to warn; and (5) Plaintiffs’ alternate theories that Merck should have added information about fractures to the Adverse Reactions section of the label prior to 2009 and should have warned that </w:t>
      </w:r>
      <w:hyperlink r:id="rId203" w:history="1">
        <w:r>
          <w:rPr>
            <w:color w:val="000000"/>
          </w:rPr>
          <w:t>Fosamax</w:t>
        </w:r>
      </w:hyperlink>
      <w:r>
        <w:rPr>
          <w:color w:val="000000"/>
        </w:rPr>
        <w:t>’s long-term benefits were limited should be dismissed.</w:t>
      </w:r>
    </w:p>
    <w:p w14:paraId="682BA132" w14:textId="77777777" w:rsidR="00793DC4" w:rsidRDefault="00793DC4">
      <w:pPr>
        <w:widowControl w:val="0"/>
        <w:autoSpaceDE w:val="0"/>
        <w:autoSpaceDN w:val="0"/>
        <w:adjustRightInd w:val="0"/>
        <w:jc w:val="both"/>
        <w:rPr>
          <w:color w:val="000000"/>
        </w:rPr>
      </w:pPr>
      <w:r>
        <w:rPr>
          <w:color w:val="000000"/>
        </w:rPr>
        <w:t> </w:t>
      </w:r>
    </w:p>
    <w:p w14:paraId="6CD3FA3D" w14:textId="77777777" w:rsidR="00793DC4" w:rsidRDefault="00793DC4">
      <w:pPr>
        <w:widowControl w:val="0"/>
        <w:autoSpaceDE w:val="0"/>
        <w:autoSpaceDN w:val="0"/>
        <w:adjustRightInd w:val="0"/>
        <w:jc w:val="both"/>
        <w:rPr>
          <w:color w:val="000000"/>
          <w:sz w:val="16"/>
          <w:szCs w:val="16"/>
        </w:rPr>
      </w:pPr>
      <w:r>
        <w:rPr>
          <w:color w:val="000000"/>
        </w:rPr>
        <w:t xml:space="preserve">With respect to the failure-to-warn claims, the District Court reiterated its conclusion from </w:t>
      </w:r>
      <w:hyperlink r:id="rId204" w:history="1">
        <w:r>
          <w:rPr>
            <w:i/>
            <w:iCs/>
            <w:color w:val="000000"/>
          </w:rPr>
          <w:t>Glynn</w:t>
        </w:r>
      </w:hyperlink>
      <w:r>
        <w:rPr>
          <w:color w:val="000000"/>
        </w:rPr>
        <w:t xml:space="preserve"> that “the fact that the FDA never required [Merck] to submit new language or change the label demonstrates that the FDA did not think that the label should have been changed at that time.”</w:t>
      </w:r>
      <w:bookmarkStart w:id="142" w:name="co_footnoteReference_B00722041287330_ID0"/>
      <w:bookmarkEnd w:id="142"/>
      <w:r>
        <w:rPr>
          <w:color w:val="000000"/>
          <w:sz w:val="16"/>
          <w:szCs w:val="16"/>
        </w:rPr>
        <w:fldChar w:fldCharType="begin"/>
      </w:r>
      <w:r>
        <w:rPr>
          <w:color w:val="000000"/>
          <w:sz w:val="16"/>
          <w:szCs w:val="16"/>
        </w:rPr>
        <w:instrText xml:space="preserve">HYPERLINK "#co_footnote_B00722041287330_1" </w:instrText>
      </w:r>
      <w:r w:rsidR="00F61700">
        <w:rPr>
          <w:color w:val="000000"/>
          <w:sz w:val="16"/>
          <w:szCs w:val="16"/>
        </w:rPr>
      </w:r>
      <w:r>
        <w:rPr>
          <w:color w:val="000000"/>
          <w:sz w:val="16"/>
          <w:szCs w:val="16"/>
        </w:rPr>
        <w:fldChar w:fldCharType="separate"/>
      </w:r>
      <w:r>
        <w:rPr>
          <w:color w:val="000000"/>
          <w:sz w:val="16"/>
          <w:szCs w:val="16"/>
          <w:vertAlign w:val="superscript"/>
        </w:rPr>
        <w:t>71</w:t>
      </w:r>
      <w:r>
        <w:rPr>
          <w:color w:val="000000"/>
          <w:sz w:val="16"/>
          <w:szCs w:val="16"/>
        </w:rPr>
        <w:fldChar w:fldCharType="end"/>
      </w:r>
      <w:r>
        <w:rPr>
          <w:color w:val="000000"/>
        </w:rPr>
        <w:t xml:space="preserve"> This evidence “remain[</w:t>
      </w:r>
      <w:proofErr w:type="spellStart"/>
      <w:r>
        <w:rPr>
          <w:color w:val="000000"/>
        </w:rPr>
        <w:t>ed</w:t>
      </w:r>
      <w:proofErr w:type="spellEnd"/>
      <w:r>
        <w:rPr>
          <w:color w:val="000000"/>
        </w:rPr>
        <w:t xml:space="preserve">] unchanged” and provided “clear evidence that the FDA </w:t>
      </w:r>
      <w:r>
        <w:rPr>
          <w:i/>
          <w:iCs/>
          <w:color w:val="000000"/>
        </w:rPr>
        <w:t>would have</w:t>
      </w:r>
      <w:r>
        <w:rPr>
          <w:color w:val="000000"/>
        </w:rPr>
        <w:t xml:space="preserve"> rejected a stronger Precautions warning because the FDA </w:t>
      </w:r>
      <w:r>
        <w:rPr>
          <w:i/>
          <w:iCs/>
          <w:color w:val="000000"/>
        </w:rPr>
        <w:t>did</w:t>
      </w:r>
      <w:r>
        <w:rPr>
          <w:color w:val="000000"/>
        </w:rPr>
        <w:t xml:space="preserve"> reject a stronger Precautions warning.”</w:t>
      </w:r>
      <w:bookmarkStart w:id="143" w:name="co_footnoteReference_B00732041287330_ID0"/>
      <w:bookmarkEnd w:id="143"/>
      <w:r>
        <w:rPr>
          <w:color w:val="000000"/>
          <w:sz w:val="16"/>
          <w:szCs w:val="16"/>
        </w:rPr>
        <w:fldChar w:fldCharType="begin"/>
      </w:r>
      <w:r>
        <w:rPr>
          <w:color w:val="000000"/>
          <w:sz w:val="16"/>
          <w:szCs w:val="16"/>
        </w:rPr>
        <w:instrText xml:space="preserve">HYPERLINK "#co_footnote_B00732041287330_1" </w:instrText>
      </w:r>
      <w:r w:rsidR="00F61700">
        <w:rPr>
          <w:color w:val="000000"/>
          <w:sz w:val="16"/>
          <w:szCs w:val="16"/>
        </w:rPr>
      </w:r>
      <w:r>
        <w:rPr>
          <w:color w:val="000000"/>
          <w:sz w:val="16"/>
          <w:szCs w:val="16"/>
        </w:rPr>
        <w:fldChar w:fldCharType="separate"/>
      </w:r>
      <w:r>
        <w:rPr>
          <w:color w:val="000000"/>
          <w:sz w:val="16"/>
          <w:szCs w:val="16"/>
          <w:vertAlign w:val="superscript"/>
        </w:rPr>
        <w:t>72</w:t>
      </w:r>
      <w:r>
        <w:rPr>
          <w:color w:val="000000"/>
          <w:sz w:val="16"/>
          <w:szCs w:val="16"/>
        </w:rPr>
        <w:fldChar w:fldCharType="end"/>
      </w:r>
      <w:r>
        <w:rPr>
          <w:color w:val="000000"/>
        </w:rPr>
        <w:t xml:space="preserve"> As to the non-failure-to-warn claims (including claims for design defect, negligence, fraud, breach of warranty, deceptive trade practice, and unjust enrichment), the District Court concluded that that these claims “are based entirely on the premise that </w:t>
      </w:r>
      <w:hyperlink r:id="rId205" w:history="1">
        <w:r>
          <w:rPr>
            <w:color w:val="000000"/>
          </w:rPr>
          <w:t>Fosamax</w:t>
        </w:r>
      </w:hyperlink>
      <w:r>
        <w:rPr>
          <w:color w:val="000000"/>
        </w:rPr>
        <w:t xml:space="preserve"> had risks which should have been disclosed to consumers” and therefore “ultimately hinge[ ] on the adequacy of </w:t>
      </w:r>
      <w:hyperlink r:id="rId206" w:history="1">
        <w:r>
          <w:rPr>
            <w:color w:val="000000"/>
          </w:rPr>
          <w:t>Fosamax</w:t>
        </w:r>
      </w:hyperlink>
      <w:r>
        <w:rPr>
          <w:color w:val="000000"/>
        </w:rPr>
        <w:t>’s warning.”</w:t>
      </w:r>
      <w:bookmarkStart w:id="144" w:name="co_footnoteReference_B00742041287330_ID0"/>
      <w:bookmarkEnd w:id="144"/>
      <w:r>
        <w:rPr>
          <w:color w:val="000000"/>
          <w:sz w:val="16"/>
          <w:szCs w:val="16"/>
        </w:rPr>
        <w:fldChar w:fldCharType="begin"/>
      </w:r>
      <w:r>
        <w:rPr>
          <w:color w:val="000000"/>
          <w:sz w:val="16"/>
          <w:szCs w:val="16"/>
        </w:rPr>
        <w:instrText xml:space="preserve">HYPERLINK "#co_footnote_B00742041287330_1" </w:instrText>
      </w:r>
      <w:r w:rsidR="00F61700">
        <w:rPr>
          <w:color w:val="000000"/>
          <w:sz w:val="16"/>
          <w:szCs w:val="16"/>
        </w:rPr>
      </w:r>
      <w:r>
        <w:rPr>
          <w:color w:val="000000"/>
          <w:sz w:val="16"/>
          <w:szCs w:val="16"/>
        </w:rPr>
        <w:fldChar w:fldCharType="separate"/>
      </w:r>
      <w:r>
        <w:rPr>
          <w:color w:val="000000"/>
          <w:sz w:val="16"/>
          <w:szCs w:val="16"/>
          <w:vertAlign w:val="superscript"/>
        </w:rPr>
        <w:t>73</w:t>
      </w:r>
      <w:r>
        <w:rPr>
          <w:color w:val="000000"/>
          <w:sz w:val="16"/>
          <w:szCs w:val="16"/>
        </w:rPr>
        <w:fldChar w:fldCharType="end"/>
      </w:r>
      <w:r>
        <w:rPr>
          <w:color w:val="000000"/>
        </w:rPr>
        <w:t xml:space="preserve"> Because these claims “rise and fall with a claim for failure to warn,” they too were preempted.</w:t>
      </w:r>
      <w:bookmarkStart w:id="145" w:name="co_footnoteReference_B00752041287330_ID0"/>
      <w:bookmarkEnd w:id="145"/>
      <w:r>
        <w:rPr>
          <w:color w:val="000000"/>
          <w:sz w:val="16"/>
          <w:szCs w:val="16"/>
        </w:rPr>
        <w:fldChar w:fldCharType="begin"/>
      </w:r>
      <w:r>
        <w:rPr>
          <w:color w:val="000000"/>
          <w:sz w:val="16"/>
          <w:szCs w:val="16"/>
        </w:rPr>
        <w:instrText xml:space="preserve">HYPERLINK "#co_footnote_B00752041287330_1" </w:instrText>
      </w:r>
      <w:r w:rsidR="00F61700">
        <w:rPr>
          <w:color w:val="000000"/>
          <w:sz w:val="16"/>
          <w:szCs w:val="16"/>
        </w:rPr>
      </w:r>
      <w:r>
        <w:rPr>
          <w:color w:val="000000"/>
          <w:sz w:val="16"/>
          <w:szCs w:val="16"/>
        </w:rPr>
        <w:fldChar w:fldCharType="separate"/>
      </w:r>
      <w:r>
        <w:rPr>
          <w:color w:val="000000"/>
          <w:sz w:val="16"/>
          <w:szCs w:val="16"/>
          <w:vertAlign w:val="superscript"/>
        </w:rPr>
        <w:t>74</w:t>
      </w:r>
      <w:r>
        <w:rPr>
          <w:color w:val="000000"/>
          <w:sz w:val="16"/>
          <w:szCs w:val="16"/>
        </w:rPr>
        <w:fldChar w:fldCharType="end"/>
      </w:r>
      <w:r>
        <w:rPr>
          <w:color w:val="000000"/>
        </w:rPr>
        <w:t xml:space="preserve"> This appeal followed.</w:t>
      </w:r>
      <w:bookmarkStart w:id="146" w:name="co_footnoteReference_B00762041287330_ID0"/>
      <w:bookmarkEnd w:id="146"/>
      <w:r>
        <w:rPr>
          <w:color w:val="000000"/>
          <w:sz w:val="16"/>
          <w:szCs w:val="16"/>
        </w:rPr>
        <w:fldChar w:fldCharType="begin"/>
      </w:r>
      <w:r>
        <w:rPr>
          <w:color w:val="000000"/>
          <w:sz w:val="16"/>
          <w:szCs w:val="16"/>
        </w:rPr>
        <w:instrText xml:space="preserve">HYPERLINK "#co_footnote_B00762041287330_1" </w:instrText>
      </w:r>
      <w:r w:rsidR="00F61700">
        <w:rPr>
          <w:color w:val="000000"/>
          <w:sz w:val="16"/>
          <w:szCs w:val="16"/>
        </w:rPr>
      </w:r>
      <w:r>
        <w:rPr>
          <w:color w:val="000000"/>
          <w:sz w:val="16"/>
          <w:szCs w:val="16"/>
        </w:rPr>
        <w:fldChar w:fldCharType="separate"/>
      </w:r>
      <w:r>
        <w:rPr>
          <w:color w:val="000000"/>
          <w:sz w:val="16"/>
          <w:szCs w:val="16"/>
          <w:vertAlign w:val="superscript"/>
        </w:rPr>
        <w:t>75</w:t>
      </w:r>
      <w:r>
        <w:rPr>
          <w:color w:val="000000"/>
          <w:sz w:val="16"/>
          <w:szCs w:val="16"/>
        </w:rPr>
        <w:fldChar w:fldCharType="end"/>
      </w:r>
    </w:p>
    <w:p w14:paraId="1B33F8C3"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59056959" w14:textId="77777777">
        <w:tblPrEx>
          <w:tblCellMar>
            <w:top w:w="0" w:type="dxa"/>
            <w:left w:w="0" w:type="dxa"/>
            <w:bottom w:w="0" w:type="dxa"/>
            <w:right w:w="0" w:type="dxa"/>
          </w:tblCellMar>
        </w:tblPrEx>
        <w:tc>
          <w:tcPr>
            <w:tcW w:w="600" w:type="dxa"/>
            <w:tcBorders>
              <w:top w:val="nil"/>
              <w:left w:val="nil"/>
              <w:bottom w:val="nil"/>
              <w:right w:val="nil"/>
            </w:tcBorders>
          </w:tcPr>
          <w:bookmarkStart w:id="147" w:name="co_footnote_B00722041287330_1"/>
          <w:bookmarkEnd w:id="147"/>
          <w:p w14:paraId="33DB1B65"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"#co_footnoteReference_B00722041287330_ID0" </w:instrText>
            </w:r>
            <w:r w:rsidR="00F61700">
              <w:rPr>
                <w:color w:val="000000"/>
              </w:rPr>
            </w:r>
            <w:r>
              <w:rPr>
                <w:color w:val="000000"/>
              </w:rPr>
              <w:fldChar w:fldCharType="separate"/>
            </w:r>
            <w:r>
              <w:rPr>
                <w:color w:val="000000"/>
                <w:vertAlign w:val="superscript"/>
              </w:rPr>
              <w:t>71</w:t>
            </w:r>
            <w:r>
              <w:rPr>
                <w:color w:val="000000"/>
              </w:rPr>
              <w:fldChar w:fldCharType="end"/>
            </w:r>
          </w:p>
          <w:p w14:paraId="77B6C143"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392123CC" w14:textId="77777777" w:rsidR="00793DC4" w:rsidRDefault="00793DC4">
            <w:pPr>
              <w:widowControl w:val="0"/>
              <w:autoSpaceDE w:val="0"/>
              <w:autoSpaceDN w:val="0"/>
              <w:adjustRightInd w:val="0"/>
              <w:jc w:val="both"/>
              <w:rPr>
                <w:color w:val="000000"/>
                <w:sz w:val="18"/>
                <w:szCs w:val="18"/>
              </w:rPr>
            </w:pPr>
            <w:hyperlink r:id="rId207" w:history="1">
              <w:r>
                <w:rPr>
                  <w:i/>
                  <w:iCs/>
                  <w:color w:val="000000"/>
                  <w:sz w:val="18"/>
                  <w:szCs w:val="18"/>
                </w:rPr>
                <w:t>Id</w:t>
              </w:r>
              <w:r>
                <w:rPr>
                  <w:color w:val="000000"/>
                  <w:sz w:val="18"/>
                  <w:szCs w:val="18"/>
                </w:rPr>
                <w:t>. at *16</w:t>
              </w:r>
            </w:hyperlink>
            <w:r>
              <w:rPr>
                <w:color w:val="000000"/>
                <w:sz w:val="18"/>
                <w:szCs w:val="18"/>
              </w:rPr>
              <w:t xml:space="preserve"> (quoting </w:t>
            </w:r>
            <w:hyperlink r:id="rId208" w:history="1">
              <w:r>
                <w:rPr>
                  <w:i/>
                  <w:iCs/>
                  <w:color w:val="000000"/>
                  <w:sz w:val="18"/>
                  <w:szCs w:val="18"/>
                </w:rPr>
                <w:t>Glynn</w:t>
              </w:r>
              <w:r>
                <w:rPr>
                  <w:color w:val="000000"/>
                  <w:sz w:val="18"/>
                  <w:szCs w:val="18"/>
                </w:rPr>
                <w:t>, 951 F.Supp.2d at 703-04</w:t>
              </w:r>
            </w:hyperlink>
            <w:r>
              <w:rPr>
                <w:color w:val="000000"/>
                <w:sz w:val="18"/>
                <w:szCs w:val="18"/>
              </w:rPr>
              <w:t>) (alterations omitted).</w:t>
            </w:r>
          </w:p>
          <w:p w14:paraId="476717B6" w14:textId="77777777" w:rsidR="00793DC4" w:rsidRDefault="00793DC4">
            <w:pPr>
              <w:widowControl w:val="0"/>
              <w:autoSpaceDE w:val="0"/>
              <w:autoSpaceDN w:val="0"/>
              <w:adjustRightInd w:val="0"/>
              <w:jc w:val="both"/>
              <w:rPr>
                <w:color w:val="000000"/>
                <w:sz w:val="18"/>
                <w:szCs w:val="18"/>
              </w:rPr>
            </w:pPr>
          </w:p>
        </w:tc>
      </w:tr>
    </w:tbl>
    <w:p w14:paraId="3FA75911"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727FB5DF" w14:textId="77777777">
        <w:tblPrEx>
          <w:tblCellMar>
            <w:top w:w="0" w:type="dxa"/>
            <w:left w:w="0" w:type="dxa"/>
            <w:bottom w:w="0" w:type="dxa"/>
            <w:right w:w="0" w:type="dxa"/>
          </w:tblCellMar>
        </w:tblPrEx>
        <w:tc>
          <w:tcPr>
            <w:tcW w:w="600" w:type="dxa"/>
            <w:tcBorders>
              <w:top w:val="nil"/>
              <w:left w:val="nil"/>
              <w:bottom w:val="nil"/>
              <w:right w:val="nil"/>
            </w:tcBorders>
          </w:tcPr>
          <w:bookmarkStart w:id="148" w:name="co_footnote_B00732041287330_1"/>
          <w:bookmarkEnd w:id="148"/>
          <w:p w14:paraId="1210C3EF"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"#co_footnoteReference_B00732041287330_ID0" </w:instrText>
            </w:r>
            <w:r w:rsidR="00F61700">
              <w:rPr>
                <w:color w:val="000000"/>
              </w:rPr>
            </w:r>
            <w:r>
              <w:rPr>
                <w:color w:val="000000"/>
              </w:rPr>
              <w:fldChar w:fldCharType="separate"/>
            </w:r>
            <w:r>
              <w:rPr>
                <w:color w:val="000000"/>
                <w:vertAlign w:val="superscript"/>
              </w:rPr>
              <w:t>72</w:t>
            </w:r>
            <w:r>
              <w:rPr>
                <w:color w:val="000000"/>
              </w:rPr>
              <w:fldChar w:fldCharType="end"/>
            </w:r>
          </w:p>
          <w:p w14:paraId="28396ABD"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3DC09001" w14:textId="77777777" w:rsidR="00793DC4" w:rsidRDefault="00793DC4">
            <w:pPr>
              <w:widowControl w:val="0"/>
              <w:autoSpaceDE w:val="0"/>
              <w:autoSpaceDN w:val="0"/>
              <w:adjustRightInd w:val="0"/>
              <w:jc w:val="both"/>
              <w:rPr>
                <w:color w:val="000000"/>
                <w:sz w:val="18"/>
                <w:szCs w:val="18"/>
              </w:rPr>
            </w:pPr>
            <w:hyperlink r:id="rId209" w:history="1">
              <w:r>
                <w:rPr>
                  <w:i/>
                  <w:iCs/>
                  <w:color w:val="000000"/>
                  <w:sz w:val="18"/>
                  <w:szCs w:val="18"/>
                </w:rPr>
                <w:t>Id</w:t>
              </w:r>
              <w:r>
                <w:rPr>
                  <w:color w:val="000000"/>
                  <w:sz w:val="18"/>
                  <w:szCs w:val="18"/>
                </w:rPr>
                <w:t>.</w:t>
              </w:r>
            </w:hyperlink>
          </w:p>
          <w:p w14:paraId="1F614ACF" w14:textId="77777777" w:rsidR="00793DC4" w:rsidRDefault="00793DC4">
            <w:pPr>
              <w:widowControl w:val="0"/>
              <w:autoSpaceDE w:val="0"/>
              <w:autoSpaceDN w:val="0"/>
              <w:adjustRightInd w:val="0"/>
              <w:jc w:val="both"/>
              <w:rPr>
                <w:color w:val="000000"/>
                <w:sz w:val="18"/>
                <w:szCs w:val="18"/>
              </w:rPr>
            </w:pPr>
          </w:p>
        </w:tc>
      </w:tr>
    </w:tbl>
    <w:p w14:paraId="28712193"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4CE40294" w14:textId="77777777">
        <w:tblPrEx>
          <w:tblCellMar>
            <w:top w:w="0" w:type="dxa"/>
            <w:left w:w="0" w:type="dxa"/>
            <w:bottom w:w="0" w:type="dxa"/>
            <w:right w:w="0" w:type="dxa"/>
          </w:tblCellMar>
        </w:tblPrEx>
        <w:tc>
          <w:tcPr>
            <w:tcW w:w="600" w:type="dxa"/>
            <w:tcBorders>
              <w:top w:val="nil"/>
              <w:left w:val="nil"/>
              <w:bottom w:val="nil"/>
              <w:right w:val="nil"/>
            </w:tcBorders>
          </w:tcPr>
          <w:bookmarkStart w:id="149" w:name="co_footnote_B00742041287330_1"/>
          <w:bookmarkEnd w:id="149"/>
          <w:p w14:paraId="1721DE18"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"#co_footnoteReference_B00742041287330_ID0" </w:instrText>
            </w:r>
            <w:r w:rsidR="00F61700">
              <w:rPr>
                <w:color w:val="000000"/>
              </w:rPr>
            </w:r>
            <w:r>
              <w:rPr>
                <w:color w:val="000000"/>
              </w:rPr>
              <w:fldChar w:fldCharType="separate"/>
            </w:r>
            <w:r>
              <w:rPr>
                <w:color w:val="000000"/>
                <w:vertAlign w:val="superscript"/>
              </w:rPr>
              <w:t>73</w:t>
            </w:r>
            <w:r>
              <w:rPr>
                <w:color w:val="000000"/>
              </w:rPr>
              <w:fldChar w:fldCharType="end"/>
            </w:r>
          </w:p>
          <w:p w14:paraId="09520275"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2A34FDC6" w14:textId="77777777" w:rsidR="00793DC4" w:rsidRDefault="00793DC4">
            <w:pPr>
              <w:widowControl w:val="0"/>
              <w:autoSpaceDE w:val="0"/>
              <w:autoSpaceDN w:val="0"/>
              <w:adjustRightInd w:val="0"/>
              <w:jc w:val="both"/>
              <w:rPr>
                <w:color w:val="000000"/>
                <w:sz w:val="18"/>
                <w:szCs w:val="18"/>
              </w:rPr>
            </w:pPr>
            <w:hyperlink r:id="rId210" w:history="1">
              <w:r>
                <w:rPr>
                  <w:i/>
                  <w:iCs/>
                  <w:color w:val="000000"/>
                  <w:sz w:val="18"/>
                  <w:szCs w:val="18"/>
                </w:rPr>
                <w:t>Id</w:t>
              </w:r>
              <w:r>
                <w:rPr>
                  <w:color w:val="000000"/>
                  <w:sz w:val="18"/>
                  <w:szCs w:val="18"/>
                </w:rPr>
                <w:t>. at *12, *14</w:t>
              </w:r>
            </w:hyperlink>
            <w:r>
              <w:rPr>
                <w:color w:val="000000"/>
                <w:sz w:val="18"/>
                <w:szCs w:val="18"/>
              </w:rPr>
              <w:t>.</w:t>
            </w:r>
          </w:p>
          <w:p w14:paraId="4DF86268" w14:textId="77777777" w:rsidR="00793DC4" w:rsidRDefault="00793DC4">
            <w:pPr>
              <w:widowControl w:val="0"/>
              <w:autoSpaceDE w:val="0"/>
              <w:autoSpaceDN w:val="0"/>
              <w:adjustRightInd w:val="0"/>
              <w:jc w:val="both"/>
              <w:rPr>
                <w:color w:val="000000"/>
                <w:sz w:val="18"/>
                <w:szCs w:val="18"/>
              </w:rPr>
            </w:pPr>
          </w:p>
        </w:tc>
      </w:tr>
    </w:tbl>
    <w:p w14:paraId="6243B697"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77E59A40" w14:textId="77777777">
        <w:tblPrEx>
          <w:tblCellMar>
            <w:top w:w="0" w:type="dxa"/>
            <w:left w:w="0" w:type="dxa"/>
            <w:bottom w:w="0" w:type="dxa"/>
            <w:right w:w="0" w:type="dxa"/>
          </w:tblCellMar>
        </w:tblPrEx>
        <w:tc>
          <w:tcPr>
            <w:tcW w:w="600" w:type="dxa"/>
            <w:tcBorders>
              <w:top w:val="nil"/>
              <w:left w:val="nil"/>
              <w:bottom w:val="nil"/>
              <w:right w:val="nil"/>
            </w:tcBorders>
          </w:tcPr>
          <w:bookmarkStart w:id="150" w:name="co_footnote_B00752041287330_1"/>
          <w:bookmarkEnd w:id="150"/>
          <w:p w14:paraId="5AC09BFD"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"#co_footnoteReference_B00752041287330_ID0" </w:instrText>
            </w:r>
            <w:r w:rsidR="00F61700">
              <w:rPr>
                <w:color w:val="000000"/>
              </w:rPr>
            </w:r>
            <w:r>
              <w:rPr>
                <w:color w:val="000000"/>
              </w:rPr>
              <w:fldChar w:fldCharType="separate"/>
            </w:r>
            <w:r>
              <w:rPr>
                <w:color w:val="000000"/>
                <w:vertAlign w:val="superscript"/>
              </w:rPr>
              <w:t>74</w:t>
            </w:r>
            <w:r>
              <w:rPr>
                <w:color w:val="000000"/>
              </w:rPr>
              <w:fldChar w:fldCharType="end"/>
            </w:r>
          </w:p>
          <w:p w14:paraId="2A2D30A6"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22B00DD3" w14:textId="77777777" w:rsidR="00793DC4" w:rsidRDefault="00793DC4">
            <w:pPr>
              <w:widowControl w:val="0"/>
              <w:autoSpaceDE w:val="0"/>
              <w:autoSpaceDN w:val="0"/>
              <w:adjustRightInd w:val="0"/>
              <w:jc w:val="both"/>
              <w:rPr>
                <w:color w:val="000000"/>
                <w:sz w:val="18"/>
                <w:szCs w:val="18"/>
              </w:rPr>
            </w:pPr>
            <w:hyperlink r:id="rId211" w:history="1">
              <w:r>
                <w:rPr>
                  <w:i/>
                  <w:iCs/>
                  <w:color w:val="000000"/>
                  <w:sz w:val="18"/>
                  <w:szCs w:val="18"/>
                </w:rPr>
                <w:t>Id</w:t>
              </w:r>
              <w:r>
                <w:rPr>
                  <w:color w:val="000000"/>
                  <w:sz w:val="18"/>
                  <w:szCs w:val="18"/>
                </w:rPr>
                <w:t>. at *12, *14</w:t>
              </w:r>
            </w:hyperlink>
            <w:r>
              <w:rPr>
                <w:color w:val="000000"/>
                <w:sz w:val="18"/>
                <w:szCs w:val="18"/>
              </w:rPr>
              <w:t>.</w:t>
            </w:r>
          </w:p>
          <w:p w14:paraId="570F0FFF" w14:textId="77777777" w:rsidR="00793DC4" w:rsidRDefault="00793DC4">
            <w:pPr>
              <w:widowControl w:val="0"/>
              <w:autoSpaceDE w:val="0"/>
              <w:autoSpaceDN w:val="0"/>
              <w:adjustRightInd w:val="0"/>
              <w:jc w:val="both"/>
              <w:rPr>
                <w:color w:val="000000"/>
                <w:sz w:val="18"/>
                <w:szCs w:val="18"/>
              </w:rPr>
            </w:pPr>
          </w:p>
        </w:tc>
      </w:tr>
    </w:tbl>
    <w:p w14:paraId="3E5B89AD"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185ABCBA" w14:textId="77777777">
        <w:tblPrEx>
          <w:tblCellMar>
            <w:top w:w="0" w:type="dxa"/>
            <w:left w:w="0" w:type="dxa"/>
            <w:bottom w:w="0" w:type="dxa"/>
            <w:right w:w="0" w:type="dxa"/>
          </w:tblCellMar>
        </w:tblPrEx>
        <w:tc>
          <w:tcPr>
            <w:tcW w:w="600" w:type="dxa"/>
            <w:tcBorders>
              <w:top w:val="nil"/>
              <w:left w:val="nil"/>
              <w:bottom w:val="nil"/>
              <w:right w:val="nil"/>
            </w:tcBorders>
          </w:tcPr>
          <w:bookmarkStart w:id="151" w:name="co_footnote_B00762041287330_1"/>
          <w:bookmarkEnd w:id="151"/>
          <w:p w14:paraId="58BD9893"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"#co_footnoteReference_B00762041287330_ID0" </w:instrText>
            </w:r>
            <w:r w:rsidR="00F61700">
              <w:rPr>
                <w:color w:val="000000"/>
              </w:rPr>
            </w:r>
            <w:r>
              <w:rPr>
                <w:color w:val="000000"/>
              </w:rPr>
              <w:fldChar w:fldCharType="separate"/>
            </w:r>
            <w:r>
              <w:rPr>
                <w:color w:val="000000"/>
                <w:vertAlign w:val="superscript"/>
              </w:rPr>
              <w:t>75</w:t>
            </w:r>
            <w:r>
              <w:rPr>
                <w:color w:val="000000"/>
              </w:rPr>
              <w:fldChar w:fldCharType="end"/>
            </w:r>
          </w:p>
          <w:p w14:paraId="7C931A5D"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32674F42" w14:textId="77777777" w:rsidR="00793DC4" w:rsidRDefault="00793DC4">
            <w:pPr>
              <w:widowControl w:val="0"/>
              <w:autoSpaceDE w:val="0"/>
              <w:autoSpaceDN w:val="0"/>
              <w:adjustRightInd w:val="0"/>
              <w:jc w:val="both"/>
              <w:rPr>
                <w:color w:val="000000"/>
                <w:sz w:val="18"/>
                <w:szCs w:val="18"/>
              </w:rPr>
            </w:pPr>
            <w:r>
              <w:rPr>
                <w:color w:val="000000"/>
                <w:sz w:val="18"/>
                <w:szCs w:val="18"/>
              </w:rPr>
              <w:t xml:space="preserve">This appeal involves only those Plaintiffs who alleged that they were injured before September 14, 2010. </w:t>
            </w:r>
            <w:r>
              <w:rPr>
                <w:i/>
                <w:iCs/>
                <w:color w:val="000000"/>
                <w:sz w:val="18"/>
                <w:szCs w:val="18"/>
              </w:rPr>
              <w:t>See</w:t>
            </w:r>
            <w:r>
              <w:rPr>
                <w:color w:val="000000"/>
                <w:sz w:val="18"/>
                <w:szCs w:val="18"/>
              </w:rPr>
              <w:t xml:space="preserve">, </w:t>
            </w:r>
            <w:r>
              <w:rPr>
                <w:i/>
                <w:iCs/>
                <w:color w:val="000000"/>
                <w:sz w:val="18"/>
                <w:szCs w:val="18"/>
              </w:rPr>
              <w:t>e.g.</w:t>
            </w:r>
            <w:r>
              <w:rPr>
                <w:color w:val="000000"/>
                <w:sz w:val="18"/>
                <w:szCs w:val="18"/>
              </w:rPr>
              <w:t xml:space="preserve">, </w:t>
            </w:r>
            <w:hyperlink r:id="rId212" w:history="1">
              <w:r>
                <w:rPr>
                  <w:i/>
                  <w:iCs/>
                  <w:color w:val="000000"/>
                  <w:sz w:val="18"/>
                  <w:szCs w:val="18"/>
                </w:rPr>
                <w:t>id</w:t>
              </w:r>
              <w:r>
                <w:rPr>
                  <w:color w:val="000000"/>
                  <w:sz w:val="18"/>
                  <w:szCs w:val="18"/>
                </w:rPr>
                <w:t xml:space="preserve">. </w:t>
              </w:r>
              <w:proofErr w:type="gramStart"/>
              <w:r>
                <w:rPr>
                  <w:color w:val="000000"/>
                  <w:sz w:val="18"/>
                  <w:szCs w:val="18"/>
                </w:rPr>
                <w:t>at</w:t>
              </w:r>
              <w:proofErr w:type="gramEnd"/>
              <w:r>
                <w:rPr>
                  <w:color w:val="000000"/>
                  <w:sz w:val="18"/>
                  <w:szCs w:val="18"/>
                </w:rPr>
                <w:t xml:space="preserve"> *17</w:t>
              </w:r>
            </w:hyperlink>
            <w:r>
              <w:rPr>
                <w:color w:val="000000"/>
                <w:sz w:val="18"/>
                <w:szCs w:val="18"/>
              </w:rPr>
              <w:t xml:space="preserve"> (granting summary judgment to Merck on “all claims made by the Plaintiffs ... with injuries that occurred prior to September 14, 2010”). Plaintiffs inform us that there are “approximately 570 remaining cases in the MDL involving plaintiffs who were injured after September 14, 2010.” Pls. Br. 8; </w:t>
            </w:r>
            <w:r>
              <w:rPr>
                <w:i/>
                <w:iCs/>
                <w:color w:val="000000"/>
                <w:sz w:val="18"/>
                <w:szCs w:val="18"/>
              </w:rPr>
              <w:t>see also</w:t>
            </w:r>
            <w:r>
              <w:rPr>
                <w:color w:val="000000"/>
                <w:sz w:val="18"/>
                <w:szCs w:val="18"/>
              </w:rPr>
              <w:t xml:space="preserve"> A 2067-80. In June 2015, the District Court conditionally dismissed these remaining actions without prejudice, concluding that they “are based on the alleged inadequacy of the pre-2011 </w:t>
            </w:r>
            <w:hyperlink r:id="rId213" w:history="1">
              <w:r>
                <w:rPr>
                  <w:color w:val="000000"/>
                  <w:sz w:val="18"/>
                  <w:szCs w:val="18"/>
                </w:rPr>
                <w:t>Fosamax</w:t>
              </w:r>
            </w:hyperlink>
            <w:r>
              <w:rPr>
                <w:color w:val="000000"/>
                <w:sz w:val="18"/>
                <w:szCs w:val="18"/>
              </w:rPr>
              <w:t xml:space="preserve"> label” and that our decision here would “determine whether the claims of the remaining Plaintiffs in this litigation ... remain viable or not.” A 2065. We express no view regarding the effect of today’s ruling on the remaining plaintiffs’ claims.</w:t>
            </w:r>
          </w:p>
          <w:p w14:paraId="405858FD" w14:textId="77777777" w:rsidR="00793DC4" w:rsidRDefault="00793DC4">
            <w:pPr>
              <w:widowControl w:val="0"/>
              <w:autoSpaceDE w:val="0"/>
              <w:autoSpaceDN w:val="0"/>
              <w:adjustRightInd w:val="0"/>
              <w:jc w:val="both"/>
              <w:rPr>
                <w:color w:val="000000"/>
                <w:sz w:val="18"/>
                <w:szCs w:val="18"/>
              </w:rPr>
            </w:pPr>
          </w:p>
        </w:tc>
      </w:tr>
    </w:tbl>
    <w:p w14:paraId="6C06E4BD" w14:textId="77777777" w:rsidR="00793DC4" w:rsidRDefault="00793DC4">
      <w:pPr>
        <w:widowControl w:val="0"/>
        <w:autoSpaceDE w:val="0"/>
        <w:autoSpaceDN w:val="0"/>
        <w:adjustRightInd w:val="0"/>
        <w:jc w:val="both"/>
        <w:rPr>
          <w:color w:val="000000"/>
        </w:rPr>
      </w:pPr>
    </w:p>
    <w:p w14:paraId="5F821733" w14:textId="77777777" w:rsidR="00793DC4" w:rsidRDefault="00793DC4">
      <w:pPr>
        <w:widowControl w:val="0"/>
        <w:autoSpaceDE w:val="0"/>
        <w:autoSpaceDN w:val="0"/>
        <w:adjustRightInd w:val="0"/>
        <w:spacing w:before="200"/>
        <w:rPr>
          <w:b/>
          <w:bCs/>
          <w:color w:val="000000"/>
        </w:rPr>
      </w:pPr>
      <w:r>
        <w:rPr>
          <w:b/>
          <w:bCs/>
          <w:color w:val="000000"/>
        </w:rPr>
        <w:t>*282</w:t>
      </w:r>
      <w:r>
        <w:rPr>
          <w:color w:val="000000"/>
        </w:rPr>
        <w:t xml:space="preserve"> </w:t>
      </w:r>
      <w:r>
        <w:rPr>
          <w:b/>
          <w:bCs/>
          <w:color w:val="000000"/>
        </w:rPr>
        <w:t>II. LEGAL BACKGROUND</w:t>
      </w:r>
    </w:p>
    <w:p w14:paraId="1CC0F923" w14:textId="77777777" w:rsidR="00793DC4" w:rsidRDefault="00793DC4">
      <w:pPr>
        <w:widowControl w:val="0"/>
        <w:autoSpaceDE w:val="0"/>
        <w:autoSpaceDN w:val="0"/>
        <w:adjustRightInd w:val="0"/>
        <w:jc w:val="both"/>
        <w:rPr>
          <w:color w:val="000000"/>
        </w:rPr>
      </w:pPr>
      <w:r>
        <w:rPr>
          <w:color w:val="000000"/>
        </w:rPr>
        <w:t xml:space="preserve">The primary issue in this case is whether </w:t>
      </w:r>
      <w:proofErr w:type="gramStart"/>
      <w:r>
        <w:rPr>
          <w:color w:val="000000"/>
        </w:rPr>
        <w:t xml:space="preserve">Plaintiffs’ state-law failure-to-warn claims are preempted by federal law under the Supreme Court’s decision in </w:t>
      </w:r>
      <w:hyperlink r:id="rId214" w:history="1">
        <w:r>
          <w:rPr>
            <w:i/>
            <w:iCs/>
            <w:color w:val="000000"/>
          </w:rPr>
          <w:t>Wyeth</w:t>
        </w:r>
        <w:proofErr w:type="gramEnd"/>
      </w:hyperlink>
      <w:r>
        <w:rPr>
          <w:color w:val="000000"/>
        </w:rPr>
        <w:t xml:space="preserve">. This is not a straightforward determination. </w:t>
      </w:r>
      <w:hyperlink r:id="rId215" w:history="1">
        <w:r>
          <w:rPr>
            <w:i/>
            <w:iCs/>
            <w:color w:val="000000"/>
          </w:rPr>
          <w:t>Wyeth</w:t>
        </w:r>
      </w:hyperlink>
      <w:r>
        <w:rPr>
          <w:color w:val="000000"/>
        </w:rPr>
        <w:t xml:space="preserve"> says only that a claim is preempted when there is “clear evidence” that the FDA would not have approved a label change. This standard is cryptic and open-ended, and lower courts have struggled to make it readily administrable. This appeal, however, requires us to do so. To assess whether Merck is entitled to summary judgment on its affirmative preemption defense, we must answer two questions: What is “clear evidence”? And who should determine whether clear evidence exists?</w:t>
      </w:r>
    </w:p>
    <w:p w14:paraId="322285FD" w14:textId="77777777" w:rsidR="00793DC4" w:rsidRDefault="00793DC4">
      <w:pPr>
        <w:widowControl w:val="0"/>
        <w:autoSpaceDE w:val="0"/>
        <w:autoSpaceDN w:val="0"/>
        <w:adjustRightInd w:val="0"/>
        <w:jc w:val="both"/>
        <w:rPr>
          <w:color w:val="000000"/>
        </w:rPr>
      </w:pPr>
      <w:r>
        <w:rPr>
          <w:color w:val="000000"/>
        </w:rPr>
        <w:t> </w:t>
      </w:r>
    </w:p>
    <w:p w14:paraId="717AFF51" w14:textId="77777777" w:rsidR="00793DC4" w:rsidRDefault="00793DC4">
      <w:pPr>
        <w:widowControl w:val="0"/>
        <w:autoSpaceDE w:val="0"/>
        <w:autoSpaceDN w:val="0"/>
        <w:adjustRightInd w:val="0"/>
        <w:jc w:val="both"/>
        <w:rPr>
          <w:color w:val="000000"/>
        </w:rPr>
      </w:pPr>
      <w:r>
        <w:rPr>
          <w:color w:val="000000"/>
        </w:rPr>
        <w:t>For the following reasons, we conclude that (1) the term “clear evidence” refers solely to the applicable standard of proof, and (2) the ultimate question of whether the FDA would have rejected a label change is a question of fact for the jury rather than for the court. By describing the ultimate question as one of fact for the jury, we do not mean to suggest that summary judgment is categorically unavailable to a manufacturer asserting a preemption defense. When there is no genuine issue of material fact—that is, when no reasonable jury applying the clear-evidence standard of proof could conclude that the FDA would have approved a label change—the manufacturer will be entitled to judgment as a matter of law. We simply hold that, at the summary judgment stage, the court cannot decide for itself whether the FDA would have rejected a change, but must instead ask whether a reasonable jury could find that the FDA would have approved the change.</w:t>
      </w:r>
    </w:p>
    <w:p w14:paraId="16A1C069" w14:textId="77777777" w:rsidR="00793DC4" w:rsidRDefault="00793DC4">
      <w:pPr>
        <w:widowControl w:val="0"/>
        <w:autoSpaceDE w:val="0"/>
        <w:autoSpaceDN w:val="0"/>
        <w:adjustRightInd w:val="0"/>
        <w:jc w:val="both"/>
        <w:rPr>
          <w:color w:val="000000"/>
        </w:rPr>
      </w:pPr>
      <w:r>
        <w:rPr>
          <w:color w:val="000000"/>
        </w:rPr>
        <w:t> </w:t>
      </w:r>
    </w:p>
    <w:p w14:paraId="565F4AE5" w14:textId="77777777" w:rsidR="00793DC4" w:rsidRDefault="00793DC4">
      <w:pPr>
        <w:widowControl w:val="0"/>
        <w:autoSpaceDE w:val="0"/>
        <w:autoSpaceDN w:val="0"/>
        <w:adjustRightInd w:val="0"/>
        <w:spacing w:before="400" w:after="200"/>
        <w:jc w:val="center"/>
        <w:rPr>
          <w:b/>
          <w:bCs/>
          <w:color w:val="000000"/>
        </w:rPr>
      </w:pPr>
      <w:r>
        <w:rPr>
          <w:b/>
          <w:bCs/>
          <w:color w:val="000000"/>
        </w:rPr>
        <w:t xml:space="preserve">A. Federal Preemption Doctrine: Impossibility Preemption and the Supreme Court’s Decision in </w:t>
      </w:r>
      <w:hyperlink r:id="rId216" w:history="1">
        <w:r>
          <w:rPr>
            <w:b/>
            <w:bCs/>
            <w:i/>
            <w:iCs/>
            <w:color w:val="000000"/>
          </w:rPr>
          <w:t>Wyeth v. Levine</w:t>
        </w:r>
      </w:hyperlink>
    </w:p>
    <w:p w14:paraId="20C9095C" w14:textId="77777777" w:rsidR="00793DC4" w:rsidRDefault="00793DC4">
      <w:pPr>
        <w:widowControl w:val="0"/>
        <w:autoSpaceDE w:val="0"/>
        <w:autoSpaceDN w:val="0"/>
        <w:adjustRightInd w:val="0"/>
        <w:spacing w:before="400" w:after="200"/>
        <w:jc w:val="center"/>
        <w:rPr>
          <w:color w:val="000000"/>
          <w:u w:val="single"/>
        </w:rPr>
      </w:pPr>
      <w:proofErr w:type="spellStart"/>
      <w:r>
        <w:rPr>
          <w:color w:val="000000"/>
        </w:rPr>
        <w:t>i</w:t>
      </w:r>
      <w:proofErr w:type="spellEnd"/>
      <w:r>
        <w:rPr>
          <w:color w:val="000000"/>
        </w:rPr>
        <w:t xml:space="preserve">. </w:t>
      </w:r>
      <w:r>
        <w:rPr>
          <w:color w:val="000000"/>
          <w:u w:val="single"/>
        </w:rPr>
        <w:t>Impossibility Preemption</w:t>
      </w:r>
    </w:p>
    <w:p w14:paraId="5B78E3EA" w14:textId="77777777" w:rsidR="00793DC4" w:rsidRDefault="00793DC4">
      <w:pPr>
        <w:widowControl w:val="0"/>
        <w:autoSpaceDE w:val="0"/>
        <w:autoSpaceDN w:val="0"/>
        <w:adjustRightInd w:val="0"/>
        <w:jc w:val="both"/>
        <w:rPr>
          <w:color w:val="000000"/>
          <w:sz w:val="16"/>
          <w:szCs w:val="16"/>
        </w:rPr>
      </w:pPr>
      <w:hyperlink r:id="rId217" w:history="1">
        <w:r>
          <w:rPr>
            <w:b/>
            <w:bCs/>
            <w:color w:val="000000"/>
            <w:vertAlign w:val="superscript"/>
          </w:rPr>
          <w:t>[1]</w:t>
        </w:r>
      </w:hyperlink>
      <w:r>
        <w:rPr>
          <w:color w:val="000000"/>
        </w:rPr>
        <w:t xml:space="preserve"> </w:t>
      </w:r>
      <w:hyperlink r:id="rId218" w:history="1">
        <w:r>
          <w:rPr>
            <w:b/>
            <w:bCs/>
            <w:color w:val="000000"/>
            <w:vertAlign w:val="superscript"/>
          </w:rPr>
          <w:t>[2]</w:t>
        </w:r>
      </w:hyperlink>
      <w:r>
        <w:rPr>
          <w:color w:val="000000"/>
        </w:rPr>
        <w:t xml:space="preserve"> </w:t>
      </w:r>
      <w:hyperlink r:id="rId219" w:history="1">
        <w:r>
          <w:rPr>
            <w:b/>
            <w:bCs/>
            <w:color w:val="000000"/>
            <w:vertAlign w:val="superscript"/>
          </w:rPr>
          <w:t>[3]</w:t>
        </w:r>
      </w:hyperlink>
      <w:r>
        <w:rPr>
          <w:color w:val="000000"/>
        </w:rPr>
        <w:t>The Supremacy Clause establishes that federal law “shall be the supreme Law of the Land.”</w:t>
      </w:r>
      <w:bookmarkStart w:id="152" w:name="co_footnoteReference_B00772041287330_ID0"/>
      <w:bookmarkEnd w:id="152"/>
      <w:r>
        <w:rPr>
          <w:color w:val="000000"/>
          <w:sz w:val="16"/>
          <w:szCs w:val="16"/>
        </w:rPr>
        <w:fldChar w:fldCharType="begin"/>
      </w:r>
      <w:r>
        <w:rPr>
          <w:color w:val="000000"/>
          <w:sz w:val="16"/>
          <w:szCs w:val="16"/>
        </w:rPr>
        <w:instrText xml:space="preserve">HYPERLINK "#co_footnote_B00772041287330_1" </w:instrText>
      </w:r>
      <w:r w:rsidR="00F61700">
        <w:rPr>
          <w:color w:val="000000"/>
          <w:sz w:val="16"/>
          <w:szCs w:val="16"/>
        </w:rPr>
      </w:r>
      <w:r>
        <w:rPr>
          <w:color w:val="000000"/>
          <w:sz w:val="16"/>
          <w:szCs w:val="16"/>
        </w:rPr>
        <w:fldChar w:fldCharType="separate"/>
      </w:r>
      <w:r>
        <w:rPr>
          <w:color w:val="000000"/>
          <w:sz w:val="16"/>
          <w:szCs w:val="16"/>
          <w:vertAlign w:val="superscript"/>
        </w:rPr>
        <w:t>76</w:t>
      </w:r>
      <w:r>
        <w:rPr>
          <w:color w:val="000000"/>
          <w:sz w:val="16"/>
          <w:szCs w:val="16"/>
        </w:rPr>
        <w:fldChar w:fldCharType="end"/>
      </w:r>
      <w:r>
        <w:rPr>
          <w:color w:val="000000"/>
        </w:rPr>
        <w:t xml:space="preserve"> The Supremacy Clause, therefore, preempts “state laws that ‘interfere with, or are contrary to,’ federal law.”</w:t>
      </w:r>
      <w:bookmarkStart w:id="153" w:name="co_footnoteReference_B00782041287330_ID0"/>
      <w:bookmarkEnd w:id="153"/>
      <w:r>
        <w:rPr>
          <w:color w:val="000000"/>
          <w:sz w:val="16"/>
          <w:szCs w:val="16"/>
        </w:rPr>
        <w:fldChar w:fldCharType="begin"/>
      </w:r>
      <w:r>
        <w:rPr>
          <w:color w:val="000000"/>
          <w:sz w:val="16"/>
          <w:szCs w:val="16"/>
        </w:rPr>
        <w:instrText xml:space="preserve">HYPERLINK "#co_footnote_B00782041287330_1" </w:instrText>
      </w:r>
      <w:r w:rsidR="00F61700">
        <w:rPr>
          <w:color w:val="000000"/>
          <w:sz w:val="16"/>
          <w:szCs w:val="16"/>
        </w:rPr>
      </w:r>
      <w:r>
        <w:rPr>
          <w:color w:val="000000"/>
          <w:sz w:val="16"/>
          <w:szCs w:val="16"/>
        </w:rPr>
        <w:fldChar w:fldCharType="separate"/>
      </w:r>
      <w:r>
        <w:rPr>
          <w:color w:val="000000"/>
          <w:sz w:val="16"/>
          <w:szCs w:val="16"/>
          <w:vertAlign w:val="superscript"/>
        </w:rPr>
        <w:t>77</w:t>
      </w:r>
      <w:r>
        <w:rPr>
          <w:color w:val="000000"/>
          <w:sz w:val="16"/>
          <w:szCs w:val="16"/>
        </w:rPr>
        <w:fldChar w:fldCharType="end"/>
      </w:r>
      <w:r>
        <w:rPr>
          <w:color w:val="000000"/>
        </w:rPr>
        <w:t xml:space="preserve"> There are several varieties of preemption; the one at issue here is called “conflict” or “impossibility” preemption. Impossibility preemption applies, and state law must give way, when “it is ‘impossible for a private party to comply with both state and federal requirements.’ ”</w:t>
      </w:r>
      <w:bookmarkStart w:id="154" w:name="co_footnoteReference_B00792041287330_ID0"/>
      <w:bookmarkEnd w:id="154"/>
      <w:r>
        <w:rPr>
          <w:color w:val="000000"/>
          <w:sz w:val="16"/>
          <w:szCs w:val="16"/>
        </w:rPr>
        <w:fldChar w:fldCharType="begin"/>
      </w:r>
      <w:r>
        <w:rPr>
          <w:color w:val="000000"/>
          <w:sz w:val="16"/>
          <w:szCs w:val="16"/>
        </w:rPr>
        <w:instrText xml:space="preserve">HYPERLINK "#co_footnote_B00792041287330_1" </w:instrText>
      </w:r>
      <w:r w:rsidR="00F61700">
        <w:rPr>
          <w:color w:val="000000"/>
          <w:sz w:val="16"/>
          <w:szCs w:val="16"/>
        </w:rPr>
      </w:r>
      <w:r>
        <w:rPr>
          <w:color w:val="000000"/>
          <w:sz w:val="16"/>
          <w:szCs w:val="16"/>
        </w:rPr>
        <w:fldChar w:fldCharType="separate"/>
      </w:r>
      <w:r>
        <w:rPr>
          <w:color w:val="000000"/>
          <w:sz w:val="16"/>
          <w:szCs w:val="16"/>
          <w:vertAlign w:val="superscript"/>
        </w:rPr>
        <w:t>78</w:t>
      </w:r>
      <w:r>
        <w:rPr>
          <w:color w:val="000000"/>
          <w:sz w:val="16"/>
          <w:szCs w:val="16"/>
        </w:rPr>
        <w:fldChar w:fldCharType="end"/>
      </w:r>
      <w:r>
        <w:rPr>
          <w:color w:val="000000"/>
        </w:rPr>
        <w:t xml:space="preserve"> “The question for ‘impossibility’ is whether the private party could independently do under federal law what state law requires of it.”</w:t>
      </w:r>
      <w:bookmarkStart w:id="155" w:name="co_footnoteReference_B00802041287330_ID0"/>
      <w:bookmarkEnd w:id="155"/>
      <w:r>
        <w:rPr>
          <w:color w:val="000000"/>
          <w:sz w:val="16"/>
          <w:szCs w:val="16"/>
        </w:rPr>
        <w:fldChar w:fldCharType="begin"/>
      </w:r>
      <w:r>
        <w:rPr>
          <w:color w:val="000000"/>
          <w:sz w:val="16"/>
          <w:szCs w:val="16"/>
        </w:rPr>
        <w:instrText xml:space="preserve">HYPERLINK "#co_footnote_B00802041287330_1" </w:instrText>
      </w:r>
      <w:r w:rsidR="00F61700">
        <w:rPr>
          <w:color w:val="000000"/>
          <w:sz w:val="16"/>
          <w:szCs w:val="16"/>
        </w:rPr>
      </w:r>
      <w:r>
        <w:rPr>
          <w:color w:val="000000"/>
          <w:sz w:val="16"/>
          <w:szCs w:val="16"/>
        </w:rPr>
        <w:fldChar w:fldCharType="separate"/>
      </w:r>
      <w:r>
        <w:rPr>
          <w:color w:val="000000"/>
          <w:sz w:val="16"/>
          <w:szCs w:val="16"/>
          <w:vertAlign w:val="superscript"/>
        </w:rPr>
        <w:t>79</w:t>
      </w:r>
      <w:r>
        <w:rPr>
          <w:color w:val="000000"/>
          <w:sz w:val="16"/>
          <w:szCs w:val="16"/>
        </w:rPr>
        <w:fldChar w:fldCharType="end"/>
      </w:r>
    </w:p>
    <w:p w14:paraId="47CC6B83"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03739DD6" w14:textId="77777777">
        <w:tblPrEx>
          <w:tblCellMar>
            <w:top w:w="0" w:type="dxa"/>
            <w:left w:w="0" w:type="dxa"/>
            <w:bottom w:w="0" w:type="dxa"/>
            <w:right w:w="0" w:type="dxa"/>
          </w:tblCellMar>
        </w:tblPrEx>
        <w:tc>
          <w:tcPr>
            <w:tcW w:w="600" w:type="dxa"/>
            <w:tcBorders>
              <w:top w:val="nil"/>
              <w:left w:val="nil"/>
              <w:bottom w:val="nil"/>
              <w:right w:val="nil"/>
            </w:tcBorders>
          </w:tcPr>
          <w:bookmarkStart w:id="156" w:name="co_footnote_B00772041287330_1"/>
          <w:bookmarkEnd w:id="156"/>
          <w:p w14:paraId="084562D3"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"#co_footnoteReference_B00772041287330_ID0" </w:instrText>
            </w:r>
            <w:r w:rsidR="00F61700">
              <w:rPr>
                <w:color w:val="000000"/>
              </w:rPr>
            </w:r>
            <w:r>
              <w:rPr>
                <w:color w:val="000000"/>
              </w:rPr>
              <w:fldChar w:fldCharType="separate"/>
            </w:r>
            <w:r>
              <w:rPr>
                <w:color w:val="000000"/>
                <w:vertAlign w:val="superscript"/>
              </w:rPr>
              <w:t>76</w:t>
            </w:r>
            <w:r>
              <w:rPr>
                <w:color w:val="000000"/>
              </w:rPr>
              <w:fldChar w:fldCharType="end"/>
            </w:r>
          </w:p>
          <w:p w14:paraId="68ECF125"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64EC16FE" w14:textId="77777777" w:rsidR="00793DC4" w:rsidRDefault="00793DC4">
            <w:pPr>
              <w:widowControl w:val="0"/>
              <w:autoSpaceDE w:val="0"/>
              <w:autoSpaceDN w:val="0"/>
              <w:adjustRightInd w:val="0"/>
              <w:jc w:val="both"/>
              <w:rPr>
                <w:color w:val="000000"/>
                <w:sz w:val="18"/>
                <w:szCs w:val="18"/>
              </w:rPr>
            </w:pPr>
            <w:hyperlink r:id="rId220" w:history="1">
              <w:r>
                <w:rPr>
                  <w:color w:val="000000"/>
                  <w:sz w:val="18"/>
                  <w:szCs w:val="18"/>
                </w:rPr>
                <w:t>U.S. Const., Art. VI, cl. 2</w:t>
              </w:r>
            </w:hyperlink>
            <w:r>
              <w:rPr>
                <w:color w:val="000000"/>
                <w:sz w:val="18"/>
                <w:szCs w:val="18"/>
              </w:rPr>
              <w:t>.</w:t>
            </w:r>
          </w:p>
          <w:p w14:paraId="503B0675" w14:textId="77777777" w:rsidR="00793DC4" w:rsidRDefault="00793DC4">
            <w:pPr>
              <w:widowControl w:val="0"/>
              <w:autoSpaceDE w:val="0"/>
              <w:autoSpaceDN w:val="0"/>
              <w:adjustRightInd w:val="0"/>
              <w:jc w:val="both"/>
              <w:rPr>
                <w:color w:val="000000"/>
                <w:sz w:val="18"/>
                <w:szCs w:val="18"/>
              </w:rPr>
            </w:pPr>
          </w:p>
        </w:tc>
      </w:tr>
    </w:tbl>
    <w:p w14:paraId="057ABA5E"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0FB2BCA5" w14:textId="77777777">
        <w:tblPrEx>
          <w:tblCellMar>
            <w:top w:w="0" w:type="dxa"/>
            <w:left w:w="0" w:type="dxa"/>
            <w:bottom w:w="0" w:type="dxa"/>
            <w:right w:w="0" w:type="dxa"/>
          </w:tblCellMar>
        </w:tblPrEx>
        <w:tc>
          <w:tcPr>
            <w:tcW w:w="600" w:type="dxa"/>
            <w:tcBorders>
              <w:top w:val="nil"/>
              <w:left w:val="nil"/>
              <w:bottom w:val="nil"/>
              <w:right w:val="nil"/>
            </w:tcBorders>
          </w:tcPr>
          <w:bookmarkStart w:id="157" w:name="co_footnote_B00782041287330_1"/>
          <w:bookmarkEnd w:id="157"/>
          <w:p w14:paraId="504C4E49"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"#co_footnoteReference_B00782041287330_ID0" </w:instrText>
            </w:r>
            <w:r w:rsidR="00F61700">
              <w:rPr>
                <w:color w:val="000000"/>
              </w:rPr>
            </w:r>
            <w:r>
              <w:rPr>
                <w:color w:val="000000"/>
              </w:rPr>
              <w:fldChar w:fldCharType="separate"/>
            </w:r>
            <w:r>
              <w:rPr>
                <w:color w:val="000000"/>
                <w:vertAlign w:val="superscript"/>
              </w:rPr>
              <w:t>77</w:t>
            </w:r>
            <w:r>
              <w:rPr>
                <w:color w:val="000000"/>
              </w:rPr>
              <w:fldChar w:fldCharType="end"/>
            </w:r>
          </w:p>
          <w:p w14:paraId="1A6431D2"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10D7FCF7" w14:textId="77777777" w:rsidR="00793DC4" w:rsidRDefault="00793DC4">
            <w:pPr>
              <w:widowControl w:val="0"/>
              <w:autoSpaceDE w:val="0"/>
              <w:autoSpaceDN w:val="0"/>
              <w:adjustRightInd w:val="0"/>
              <w:jc w:val="both"/>
              <w:rPr>
                <w:color w:val="000000"/>
                <w:sz w:val="18"/>
                <w:szCs w:val="18"/>
              </w:rPr>
            </w:pPr>
            <w:hyperlink r:id="rId221" w:history="1">
              <w:r>
                <w:rPr>
                  <w:i/>
                  <w:iCs/>
                  <w:color w:val="000000"/>
                  <w:sz w:val="18"/>
                  <w:szCs w:val="18"/>
                </w:rPr>
                <w:t xml:space="preserve">Hillsborough </w:t>
              </w:r>
              <w:proofErr w:type="spellStart"/>
              <w:r>
                <w:rPr>
                  <w:i/>
                  <w:iCs/>
                  <w:color w:val="000000"/>
                  <w:sz w:val="18"/>
                  <w:szCs w:val="18"/>
                </w:rPr>
                <w:t>Cty</w:t>
              </w:r>
              <w:proofErr w:type="spellEnd"/>
              <w:proofErr w:type="gramStart"/>
              <w:r>
                <w:rPr>
                  <w:i/>
                  <w:iCs/>
                  <w:color w:val="000000"/>
                  <w:sz w:val="18"/>
                  <w:szCs w:val="18"/>
                </w:rPr>
                <w:t>.,</w:t>
              </w:r>
              <w:proofErr w:type="gramEnd"/>
              <w:r>
                <w:rPr>
                  <w:i/>
                  <w:iCs/>
                  <w:color w:val="000000"/>
                  <w:sz w:val="18"/>
                  <w:szCs w:val="18"/>
                </w:rPr>
                <w:t xml:space="preserve"> Florida v. Automated Med. Labs., Inc</w:t>
              </w:r>
              <w:r>
                <w:rPr>
                  <w:color w:val="000000"/>
                  <w:sz w:val="18"/>
                  <w:szCs w:val="18"/>
                </w:rPr>
                <w:t xml:space="preserve">., 471 U.S. 707, 712, 105 </w:t>
              </w:r>
              <w:proofErr w:type="spellStart"/>
              <w:r>
                <w:rPr>
                  <w:color w:val="000000"/>
                  <w:sz w:val="18"/>
                  <w:szCs w:val="18"/>
                </w:rPr>
                <w:t>S.Ct</w:t>
              </w:r>
              <w:proofErr w:type="spellEnd"/>
              <w:r>
                <w:rPr>
                  <w:color w:val="000000"/>
                  <w:sz w:val="18"/>
                  <w:szCs w:val="18"/>
                </w:rPr>
                <w:t>. 2371, 85 L.Ed.2d 714 (1985)</w:t>
              </w:r>
            </w:hyperlink>
            <w:r>
              <w:rPr>
                <w:color w:val="000000"/>
                <w:sz w:val="18"/>
                <w:szCs w:val="18"/>
              </w:rPr>
              <w:t xml:space="preserve"> (quoting </w:t>
            </w:r>
            <w:hyperlink r:id="rId222" w:history="1">
              <w:r>
                <w:rPr>
                  <w:i/>
                  <w:iCs/>
                  <w:color w:val="000000"/>
                  <w:sz w:val="18"/>
                  <w:szCs w:val="18"/>
                </w:rPr>
                <w:t>Gibbons v. Ogden</w:t>
              </w:r>
              <w:r>
                <w:rPr>
                  <w:color w:val="000000"/>
                  <w:sz w:val="18"/>
                  <w:szCs w:val="18"/>
                </w:rPr>
                <w:t xml:space="preserve">, 22 U.S. (9 Wheat.) 1, 211, 6 </w:t>
              </w:r>
              <w:proofErr w:type="spellStart"/>
              <w:r>
                <w:rPr>
                  <w:color w:val="000000"/>
                  <w:sz w:val="18"/>
                  <w:szCs w:val="18"/>
                </w:rPr>
                <w:t>L.Ed</w:t>
              </w:r>
              <w:proofErr w:type="spellEnd"/>
              <w:r>
                <w:rPr>
                  <w:color w:val="000000"/>
                  <w:sz w:val="18"/>
                  <w:szCs w:val="18"/>
                </w:rPr>
                <w:t>. 23 (1824)</w:t>
              </w:r>
            </w:hyperlink>
            <w:r>
              <w:rPr>
                <w:color w:val="000000"/>
                <w:sz w:val="18"/>
                <w:szCs w:val="18"/>
              </w:rPr>
              <w:t>).</w:t>
            </w:r>
          </w:p>
          <w:p w14:paraId="491041A2" w14:textId="77777777" w:rsidR="00793DC4" w:rsidRDefault="00793DC4">
            <w:pPr>
              <w:widowControl w:val="0"/>
              <w:autoSpaceDE w:val="0"/>
              <w:autoSpaceDN w:val="0"/>
              <w:adjustRightInd w:val="0"/>
              <w:jc w:val="both"/>
              <w:rPr>
                <w:color w:val="000000"/>
                <w:sz w:val="18"/>
                <w:szCs w:val="18"/>
              </w:rPr>
            </w:pPr>
          </w:p>
        </w:tc>
      </w:tr>
    </w:tbl>
    <w:p w14:paraId="56FBC2C8"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4C39DC5E" w14:textId="77777777">
        <w:tblPrEx>
          <w:tblCellMar>
            <w:top w:w="0" w:type="dxa"/>
            <w:left w:w="0" w:type="dxa"/>
            <w:bottom w:w="0" w:type="dxa"/>
            <w:right w:w="0" w:type="dxa"/>
          </w:tblCellMar>
        </w:tblPrEx>
        <w:tc>
          <w:tcPr>
            <w:tcW w:w="600" w:type="dxa"/>
            <w:tcBorders>
              <w:top w:val="nil"/>
              <w:left w:val="nil"/>
              <w:bottom w:val="nil"/>
              <w:right w:val="nil"/>
            </w:tcBorders>
          </w:tcPr>
          <w:bookmarkStart w:id="158" w:name="co_footnote_B00792041287330_1"/>
          <w:bookmarkEnd w:id="158"/>
          <w:p w14:paraId="136C5F61"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"#co_footnoteReference_B00792041287330_ID0" </w:instrText>
            </w:r>
            <w:r w:rsidR="00F61700">
              <w:rPr>
                <w:color w:val="000000"/>
              </w:rPr>
            </w:r>
            <w:r>
              <w:rPr>
                <w:color w:val="000000"/>
              </w:rPr>
              <w:fldChar w:fldCharType="separate"/>
            </w:r>
            <w:r>
              <w:rPr>
                <w:color w:val="000000"/>
                <w:vertAlign w:val="superscript"/>
              </w:rPr>
              <w:t>78</w:t>
            </w:r>
            <w:r>
              <w:rPr>
                <w:color w:val="000000"/>
              </w:rPr>
              <w:fldChar w:fldCharType="end"/>
            </w:r>
          </w:p>
          <w:p w14:paraId="3F93D538"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25679C0A" w14:textId="77777777" w:rsidR="00793DC4" w:rsidRDefault="00793DC4">
            <w:pPr>
              <w:widowControl w:val="0"/>
              <w:autoSpaceDE w:val="0"/>
              <w:autoSpaceDN w:val="0"/>
              <w:adjustRightInd w:val="0"/>
              <w:jc w:val="both"/>
              <w:rPr>
                <w:color w:val="000000"/>
                <w:sz w:val="18"/>
                <w:szCs w:val="18"/>
              </w:rPr>
            </w:pPr>
            <w:hyperlink r:id="rId223" w:history="1">
              <w:r>
                <w:rPr>
                  <w:i/>
                  <w:iCs/>
                  <w:color w:val="000000"/>
                  <w:sz w:val="18"/>
                  <w:szCs w:val="18"/>
                </w:rPr>
                <w:t xml:space="preserve">PLIVA, Inc. v. </w:t>
              </w:r>
              <w:proofErr w:type="spellStart"/>
              <w:r>
                <w:rPr>
                  <w:i/>
                  <w:iCs/>
                  <w:color w:val="000000"/>
                  <w:sz w:val="18"/>
                  <w:szCs w:val="18"/>
                </w:rPr>
                <w:t>Mensing</w:t>
              </w:r>
              <w:proofErr w:type="spellEnd"/>
              <w:r>
                <w:rPr>
                  <w:color w:val="000000"/>
                  <w:sz w:val="18"/>
                  <w:szCs w:val="18"/>
                </w:rPr>
                <w:t xml:space="preserve">, 564 U.S. 604, 618, 131 </w:t>
              </w:r>
              <w:proofErr w:type="spellStart"/>
              <w:r>
                <w:rPr>
                  <w:color w:val="000000"/>
                  <w:sz w:val="18"/>
                  <w:szCs w:val="18"/>
                </w:rPr>
                <w:t>S.Ct</w:t>
              </w:r>
              <w:proofErr w:type="spellEnd"/>
              <w:r>
                <w:rPr>
                  <w:color w:val="000000"/>
                  <w:sz w:val="18"/>
                  <w:szCs w:val="18"/>
                </w:rPr>
                <w:t>. 2567, 180 L.Ed.2d 580 (2011)</w:t>
              </w:r>
            </w:hyperlink>
            <w:r>
              <w:rPr>
                <w:color w:val="000000"/>
                <w:sz w:val="18"/>
                <w:szCs w:val="18"/>
              </w:rPr>
              <w:t xml:space="preserve"> (quoting </w:t>
            </w:r>
            <w:hyperlink r:id="rId224" w:history="1">
              <w:r>
                <w:rPr>
                  <w:i/>
                  <w:iCs/>
                  <w:color w:val="000000"/>
                  <w:sz w:val="18"/>
                  <w:szCs w:val="18"/>
                </w:rPr>
                <w:t>Freightliner Corp. v. Myrick</w:t>
              </w:r>
              <w:r>
                <w:rPr>
                  <w:color w:val="000000"/>
                  <w:sz w:val="18"/>
                  <w:szCs w:val="18"/>
                </w:rPr>
                <w:t xml:space="preserve">, 514 U.S. 280, 287, 115 </w:t>
              </w:r>
              <w:proofErr w:type="spellStart"/>
              <w:r>
                <w:rPr>
                  <w:color w:val="000000"/>
                  <w:sz w:val="18"/>
                  <w:szCs w:val="18"/>
                </w:rPr>
                <w:t>S.Ct</w:t>
              </w:r>
              <w:proofErr w:type="spellEnd"/>
              <w:r>
                <w:rPr>
                  <w:color w:val="000000"/>
                  <w:sz w:val="18"/>
                  <w:szCs w:val="18"/>
                </w:rPr>
                <w:t>. 1483, 131 L.Ed.2d 385 (1995)</w:t>
              </w:r>
            </w:hyperlink>
            <w:r>
              <w:rPr>
                <w:color w:val="000000"/>
                <w:sz w:val="18"/>
                <w:szCs w:val="18"/>
              </w:rPr>
              <w:t>).</w:t>
            </w:r>
          </w:p>
          <w:p w14:paraId="12D9E52E" w14:textId="77777777" w:rsidR="00793DC4" w:rsidRDefault="00793DC4">
            <w:pPr>
              <w:widowControl w:val="0"/>
              <w:autoSpaceDE w:val="0"/>
              <w:autoSpaceDN w:val="0"/>
              <w:adjustRightInd w:val="0"/>
              <w:jc w:val="both"/>
              <w:rPr>
                <w:color w:val="000000"/>
                <w:sz w:val="18"/>
                <w:szCs w:val="18"/>
              </w:rPr>
            </w:pPr>
          </w:p>
        </w:tc>
      </w:tr>
    </w:tbl>
    <w:p w14:paraId="62C7E700"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6B9ED59F" w14:textId="77777777">
        <w:tblPrEx>
          <w:tblCellMar>
            <w:top w:w="0" w:type="dxa"/>
            <w:left w:w="0" w:type="dxa"/>
            <w:bottom w:w="0" w:type="dxa"/>
            <w:right w:w="0" w:type="dxa"/>
          </w:tblCellMar>
        </w:tblPrEx>
        <w:tc>
          <w:tcPr>
            <w:tcW w:w="600" w:type="dxa"/>
            <w:tcBorders>
              <w:top w:val="nil"/>
              <w:left w:val="nil"/>
              <w:bottom w:val="nil"/>
              <w:right w:val="nil"/>
            </w:tcBorders>
          </w:tcPr>
          <w:bookmarkStart w:id="159" w:name="co_footnote_B00802041287330_1"/>
          <w:bookmarkEnd w:id="159"/>
          <w:p w14:paraId="29F5D793"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"#co_footnoteReference_B00802041287330_ID0" </w:instrText>
            </w:r>
            <w:r w:rsidR="00F61700">
              <w:rPr>
                <w:color w:val="000000"/>
              </w:rPr>
            </w:r>
            <w:r>
              <w:rPr>
                <w:color w:val="000000"/>
              </w:rPr>
              <w:fldChar w:fldCharType="separate"/>
            </w:r>
            <w:r>
              <w:rPr>
                <w:color w:val="000000"/>
                <w:vertAlign w:val="superscript"/>
              </w:rPr>
              <w:t>79</w:t>
            </w:r>
            <w:r>
              <w:rPr>
                <w:color w:val="000000"/>
              </w:rPr>
              <w:fldChar w:fldCharType="end"/>
            </w:r>
          </w:p>
          <w:p w14:paraId="575BDD72"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7A4B3D58" w14:textId="77777777" w:rsidR="00793DC4" w:rsidRDefault="00793DC4">
            <w:pPr>
              <w:widowControl w:val="0"/>
              <w:autoSpaceDE w:val="0"/>
              <w:autoSpaceDN w:val="0"/>
              <w:adjustRightInd w:val="0"/>
              <w:jc w:val="both"/>
              <w:rPr>
                <w:color w:val="000000"/>
                <w:sz w:val="18"/>
                <w:szCs w:val="18"/>
              </w:rPr>
            </w:pPr>
            <w:hyperlink r:id="rId225" w:history="1">
              <w:r>
                <w:rPr>
                  <w:i/>
                  <w:iCs/>
                  <w:color w:val="000000"/>
                  <w:sz w:val="18"/>
                  <w:szCs w:val="18"/>
                </w:rPr>
                <w:t>Id</w:t>
              </w:r>
              <w:r>
                <w:rPr>
                  <w:color w:val="000000"/>
                  <w:sz w:val="18"/>
                  <w:szCs w:val="18"/>
                </w:rPr>
                <w:t xml:space="preserve">. at 620, 131 </w:t>
              </w:r>
              <w:proofErr w:type="spellStart"/>
              <w:r>
                <w:rPr>
                  <w:color w:val="000000"/>
                  <w:sz w:val="18"/>
                  <w:szCs w:val="18"/>
                </w:rPr>
                <w:t>S.Ct</w:t>
              </w:r>
              <w:proofErr w:type="spellEnd"/>
              <w:r>
                <w:rPr>
                  <w:color w:val="000000"/>
                  <w:sz w:val="18"/>
                  <w:szCs w:val="18"/>
                </w:rPr>
                <w:t>. 2567</w:t>
              </w:r>
            </w:hyperlink>
            <w:r>
              <w:rPr>
                <w:color w:val="000000"/>
                <w:sz w:val="18"/>
                <w:szCs w:val="18"/>
              </w:rPr>
              <w:t>.</w:t>
            </w:r>
          </w:p>
          <w:p w14:paraId="337D5E7E" w14:textId="77777777" w:rsidR="00793DC4" w:rsidRDefault="00793DC4">
            <w:pPr>
              <w:widowControl w:val="0"/>
              <w:autoSpaceDE w:val="0"/>
              <w:autoSpaceDN w:val="0"/>
              <w:adjustRightInd w:val="0"/>
              <w:jc w:val="both"/>
              <w:rPr>
                <w:color w:val="000000"/>
                <w:sz w:val="18"/>
                <w:szCs w:val="18"/>
              </w:rPr>
            </w:pPr>
          </w:p>
        </w:tc>
      </w:tr>
    </w:tbl>
    <w:p w14:paraId="47762A66" w14:textId="77777777" w:rsidR="00793DC4" w:rsidRDefault="00793DC4">
      <w:pPr>
        <w:widowControl w:val="0"/>
        <w:autoSpaceDE w:val="0"/>
        <w:autoSpaceDN w:val="0"/>
        <w:adjustRightInd w:val="0"/>
        <w:jc w:val="both"/>
        <w:rPr>
          <w:color w:val="000000"/>
        </w:rPr>
      </w:pPr>
    </w:p>
    <w:p w14:paraId="1B456BCA" w14:textId="77777777" w:rsidR="00793DC4" w:rsidRDefault="00793DC4">
      <w:pPr>
        <w:widowControl w:val="0"/>
        <w:autoSpaceDE w:val="0"/>
        <w:autoSpaceDN w:val="0"/>
        <w:adjustRightInd w:val="0"/>
        <w:jc w:val="both"/>
        <w:rPr>
          <w:color w:val="000000"/>
        </w:rPr>
      </w:pPr>
      <w:r>
        <w:rPr>
          <w:color w:val="000000"/>
        </w:rPr>
        <w:t xml:space="preserve">In this case, Plaintiffs claim that state law obligated Merck to add a warning about atypical femur fractures to the </w:t>
      </w:r>
      <w:hyperlink r:id="rId226" w:history="1">
        <w:r>
          <w:rPr>
            <w:color w:val="000000"/>
          </w:rPr>
          <w:t>Fosamax</w:t>
        </w:r>
      </w:hyperlink>
      <w:r>
        <w:rPr>
          <w:color w:val="000000"/>
        </w:rPr>
        <w:t xml:space="preserve"> label. At issue is whether federal law—here, FDA regulations—prevented Merck from adding the type of warnings that Plaintiffs claim were required under state law. The Supreme Court confronted a similar question in </w:t>
      </w:r>
      <w:hyperlink r:id="rId227" w:history="1">
        <w:r>
          <w:rPr>
            <w:i/>
            <w:iCs/>
            <w:color w:val="000000"/>
          </w:rPr>
          <w:t>Wyeth</w:t>
        </w:r>
      </w:hyperlink>
      <w:r>
        <w:rPr>
          <w:color w:val="000000"/>
        </w:rPr>
        <w:t>, and its opinion governs our analysis here.</w:t>
      </w:r>
    </w:p>
    <w:p w14:paraId="5144EAF7" w14:textId="77777777" w:rsidR="00793DC4" w:rsidRDefault="00793DC4">
      <w:pPr>
        <w:widowControl w:val="0"/>
        <w:autoSpaceDE w:val="0"/>
        <w:autoSpaceDN w:val="0"/>
        <w:adjustRightInd w:val="0"/>
        <w:jc w:val="both"/>
        <w:rPr>
          <w:color w:val="000000"/>
        </w:rPr>
      </w:pPr>
      <w:r>
        <w:rPr>
          <w:color w:val="000000"/>
        </w:rPr>
        <w:t> </w:t>
      </w:r>
    </w:p>
    <w:p w14:paraId="5BF6E39D" w14:textId="77777777" w:rsidR="00793DC4" w:rsidRDefault="00793DC4">
      <w:pPr>
        <w:widowControl w:val="0"/>
        <w:autoSpaceDE w:val="0"/>
        <w:autoSpaceDN w:val="0"/>
        <w:adjustRightInd w:val="0"/>
        <w:spacing w:before="400" w:after="200"/>
        <w:jc w:val="center"/>
        <w:rPr>
          <w:color w:val="000000"/>
          <w:u w:val="single"/>
        </w:rPr>
      </w:pPr>
      <w:r>
        <w:rPr>
          <w:b/>
          <w:bCs/>
          <w:color w:val="000000"/>
        </w:rPr>
        <w:t>*283</w:t>
      </w:r>
      <w:r>
        <w:rPr>
          <w:color w:val="000000"/>
        </w:rPr>
        <w:t xml:space="preserve"> ii. </w:t>
      </w:r>
      <w:r>
        <w:rPr>
          <w:color w:val="000000"/>
          <w:u w:val="single"/>
        </w:rPr>
        <w:t xml:space="preserve">The </w:t>
      </w:r>
      <w:hyperlink r:id="rId228" w:history="1">
        <w:r>
          <w:rPr>
            <w:i/>
            <w:iCs/>
            <w:color w:val="000000"/>
            <w:u w:val="single"/>
          </w:rPr>
          <w:t>Wyeth</w:t>
        </w:r>
      </w:hyperlink>
      <w:r>
        <w:rPr>
          <w:color w:val="000000"/>
          <w:u w:val="single"/>
        </w:rPr>
        <w:t xml:space="preserve"> Decision</w:t>
      </w:r>
    </w:p>
    <w:p w14:paraId="2986EEBB" w14:textId="77777777" w:rsidR="00793DC4" w:rsidRDefault="00793DC4">
      <w:pPr>
        <w:widowControl w:val="0"/>
        <w:autoSpaceDE w:val="0"/>
        <w:autoSpaceDN w:val="0"/>
        <w:adjustRightInd w:val="0"/>
        <w:jc w:val="both"/>
        <w:rPr>
          <w:color w:val="000000"/>
        </w:rPr>
      </w:pPr>
      <w:r>
        <w:rPr>
          <w:color w:val="000000"/>
        </w:rPr>
        <w:t xml:space="preserve">In </w:t>
      </w:r>
      <w:hyperlink r:id="rId229" w:history="1">
        <w:r>
          <w:rPr>
            <w:i/>
            <w:iCs/>
            <w:color w:val="000000"/>
          </w:rPr>
          <w:t>Wyeth</w:t>
        </w:r>
      </w:hyperlink>
      <w:r>
        <w:rPr>
          <w:color w:val="000000"/>
        </w:rPr>
        <w:t xml:space="preserve">, the Supreme Court addressed whether and to what extent state-law failure-to-warn claims are preempted by the FDCA and federal drug-labeling regulations. The Court held that failure-to-warn claims against drug manufacturers generally are not preempted by FDA approval of the drug’s warning label. But such a claim </w:t>
      </w:r>
      <w:r>
        <w:rPr>
          <w:i/>
          <w:iCs/>
          <w:color w:val="000000"/>
        </w:rPr>
        <w:t>is</w:t>
      </w:r>
      <w:r>
        <w:rPr>
          <w:color w:val="000000"/>
        </w:rPr>
        <w:t xml:space="preserve"> preempted by federal law when there is “clear evidence” that the FDA would not have approved the warning that a plaintiff claims was necessary.</w:t>
      </w:r>
    </w:p>
    <w:p w14:paraId="3881369A" w14:textId="77777777" w:rsidR="00793DC4" w:rsidRDefault="00793DC4">
      <w:pPr>
        <w:widowControl w:val="0"/>
        <w:autoSpaceDE w:val="0"/>
        <w:autoSpaceDN w:val="0"/>
        <w:adjustRightInd w:val="0"/>
        <w:jc w:val="both"/>
        <w:rPr>
          <w:color w:val="000000"/>
        </w:rPr>
      </w:pPr>
      <w:r>
        <w:rPr>
          <w:color w:val="000000"/>
        </w:rPr>
        <w:t> </w:t>
      </w:r>
    </w:p>
    <w:p w14:paraId="50189467" w14:textId="77777777" w:rsidR="00793DC4" w:rsidRDefault="00793DC4">
      <w:pPr>
        <w:widowControl w:val="0"/>
        <w:autoSpaceDE w:val="0"/>
        <w:autoSpaceDN w:val="0"/>
        <w:adjustRightInd w:val="0"/>
        <w:jc w:val="both"/>
        <w:rPr>
          <w:color w:val="000000"/>
          <w:sz w:val="16"/>
          <w:szCs w:val="16"/>
        </w:rPr>
      </w:pPr>
      <w:r>
        <w:rPr>
          <w:color w:val="000000"/>
        </w:rPr>
        <w:t xml:space="preserve">The plaintiff in </w:t>
      </w:r>
      <w:hyperlink r:id="rId230" w:history="1">
        <w:r>
          <w:rPr>
            <w:i/>
            <w:iCs/>
            <w:color w:val="000000"/>
          </w:rPr>
          <w:t>Wyeth</w:t>
        </w:r>
      </w:hyperlink>
      <w:r>
        <w:rPr>
          <w:color w:val="000000"/>
        </w:rPr>
        <w:t xml:space="preserve"> developed </w:t>
      </w:r>
      <w:hyperlink r:id="rId231" w:history="1">
        <w:r>
          <w:rPr>
            <w:color w:val="000000"/>
          </w:rPr>
          <w:t>gangrene</w:t>
        </w:r>
      </w:hyperlink>
      <w:r>
        <w:rPr>
          <w:color w:val="000000"/>
        </w:rPr>
        <w:t xml:space="preserve"> when a physician’s assistant injected her with the </w:t>
      </w:r>
      <w:proofErr w:type="spellStart"/>
      <w:r>
        <w:rPr>
          <w:color w:val="000000"/>
        </w:rPr>
        <w:t>antinausea</w:t>
      </w:r>
      <w:proofErr w:type="spellEnd"/>
      <w:r>
        <w:rPr>
          <w:color w:val="000000"/>
        </w:rPr>
        <w:t xml:space="preserve"> drug </w:t>
      </w:r>
      <w:hyperlink r:id="rId232" w:history="1">
        <w:r>
          <w:rPr>
            <w:color w:val="000000"/>
          </w:rPr>
          <w:t>Phenergan</w:t>
        </w:r>
      </w:hyperlink>
      <w:r>
        <w:rPr>
          <w:color w:val="000000"/>
        </w:rPr>
        <w:t xml:space="preserve">. She brought a state-law failure-to-warn claim against Wyeth, the manufacturer of </w:t>
      </w:r>
      <w:hyperlink r:id="rId233" w:history="1">
        <w:r>
          <w:rPr>
            <w:color w:val="000000"/>
          </w:rPr>
          <w:t>Phenergan</w:t>
        </w:r>
      </w:hyperlink>
      <w:r>
        <w:rPr>
          <w:color w:val="000000"/>
        </w:rPr>
        <w:t>, for failing to provide an adequate warning about the risks involved with various methods of administering the drug. A jury concluded that the plaintiff’s injury was caused by Wyeth’s inadequate warning label. Wyeth argued on appeal that the state-law failure-to-warn claims were preempted because it was impossible to comply with both state-law warning duties and federal labeling obligations.</w:t>
      </w:r>
      <w:bookmarkStart w:id="160" w:name="co_footnoteReference_B00812041287330_ID0"/>
      <w:bookmarkEnd w:id="160"/>
      <w:r>
        <w:rPr>
          <w:color w:val="000000"/>
          <w:sz w:val="16"/>
          <w:szCs w:val="16"/>
        </w:rPr>
        <w:fldChar w:fldCharType="begin"/>
      </w:r>
      <w:r>
        <w:rPr>
          <w:color w:val="000000"/>
          <w:sz w:val="16"/>
          <w:szCs w:val="16"/>
        </w:rPr>
        <w:instrText xml:space="preserve">HYPERLINK "#co_footnote_B00812041287330_1" </w:instrText>
      </w:r>
      <w:r w:rsidR="00F61700">
        <w:rPr>
          <w:color w:val="000000"/>
          <w:sz w:val="16"/>
          <w:szCs w:val="16"/>
        </w:rPr>
      </w:r>
      <w:r>
        <w:rPr>
          <w:color w:val="000000"/>
          <w:sz w:val="16"/>
          <w:szCs w:val="16"/>
        </w:rPr>
        <w:fldChar w:fldCharType="separate"/>
      </w:r>
      <w:r>
        <w:rPr>
          <w:color w:val="000000"/>
          <w:sz w:val="16"/>
          <w:szCs w:val="16"/>
          <w:vertAlign w:val="superscript"/>
        </w:rPr>
        <w:t>80</w:t>
      </w:r>
      <w:r>
        <w:rPr>
          <w:color w:val="000000"/>
          <w:sz w:val="16"/>
          <w:szCs w:val="16"/>
        </w:rPr>
        <w:fldChar w:fldCharType="end"/>
      </w:r>
    </w:p>
    <w:p w14:paraId="5A0200D1"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058B50A4" w14:textId="77777777">
        <w:tblPrEx>
          <w:tblCellMar>
            <w:top w:w="0" w:type="dxa"/>
            <w:left w:w="0" w:type="dxa"/>
            <w:bottom w:w="0" w:type="dxa"/>
            <w:right w:w="0" w:type="dxa"/>
          </w:tblCellMar>
        </w:tblPrEx>
        <w:tc>
          <w:tcPr>
            <w:tcW w:w="600" w:type="dxa"/>
            <w:tcBorders>
              <w:top w:val="nil"/>
              <w:left w:val="nil"/>
              <w:bottom w:val="nil"/>
              <w:right w:val="nil"/>
            </w:tcBorders>
          </w:tcPr>
          <w:bookmarkStart w:id="161" w:name="co_footnote_B00812041287330_1"/>
          <w:bookmarkEnd w:id="161"/>
          <w:p w14:paraId="19E6441F"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"#co_footnoteReference_B00812041287330_ID0" </w:instrText>
            </w:r>
            <w:r w:rsidR="00F61700">
              <w:rPr>
                <w:color w:val="000000"/>
              </w:rPr>
            </w:r>
            <w:r>
              <w:rPr>
                <w:color w:val="000000"/>
              </w:rPr>
              <w:fldChar w:fldCharType="separate"/>
            </w:r>
            <w:r>
              <w:rPr>
                <w:color w:val="000000"/>
                <w:vertAlign w:val="superscript"/>
              </w:rPr>
              <w:t>80</w:t>
            </w:r>
            <w:r>
              <w:rPr>
                <w:color w:val="000000"/>
              </w:rPr>
              <w:fldChar w:fldCharType="end"/>
            </w:r>
          </w:p>
          <w:p w14:paraId="31D005D8"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147D0C3C" w14:textId="77777777" w:rsidR="00793DC4" w:rsidRDefault="00793DC4">
            <w:pPr>
              <w:widowControl w:val="0"/>
              <w:autoSpaceDE w:val="0"/>
              <w:autoSpaceDN w:val="0"/>
              <w:adjustRightInd w:val="0"/>
              <w:jc w:val="both"/>
              <w:rPr>
                <w:color w:val="000000"/>
                <w:sz w:val="18"/>
                <w:szCs w:val="18"/>
              </w:rPr>
            </w:pPr>
            <w:hyperlink r:id="rId234" w:history="1">
              <w:r>
                <w:rPr>
                  <w:i/>
                  <w:iCs/>
                  <w:color w:val="000000"/>
                  <w:sz w:val="18"/>
                  <w:szCs w:val="18"/>
                </w:rPr>
                <w:t>Wyeth</w:t>
              </w:r>
              <w:r>
                <w:rPr>
                  <w:color w:val="000000"/>
                  <w:sz w:val="18"/>
                  <w:szCs w:val="18"/>
                </w:rPr>
                <w:t xml:space="preserve">, 555 U.S. at 559-64, 129 </w:t>
              </w:r>
              <w:proofErr w:type="spellStart"/>
              <w:r>
                <w:rPr>
                  <w:color w:val="000000"/>
                  <w:sz w:val="18"/>
                  <w:szCs w:val="18"/>
                </w:rPr>
                <w:t>S.Ct</w:t>
              </w:r>
              <w:proofErr w:type="spellEnd"/>
              <w:r>
                <w:rPr>
                  <w:color w:val="000000"/>
                  <w:sz w:val="18"/>
                  <w:szCs w:val="18"/>
                </w:rPr>
                <w:t>. 1187</w:t>
              </w:r>
            </w:hyperlink>
            <w:r>
              <w:rPr>
                <w:color w:val="000000"/>
                <w:sz w:val="18"/>
                <w:szCs w:val="18"/>
              </w:rPr>
              <w:t>.</w:t>
            </w:r>
          </w:p>
          <w:p w14:paraId="1C4B0854" w14:textId="77777777" w:rsidR="00793DC4" w:rsidRDefault="00793DC4">
            <w:pPr>
              <w:widowControl w:val="0"/>
              <w:autoSpaceDE w:val="0"/>
              <w:autoSpaceDN w:val="0"/>
              <w:adjustRightInd w:val="0"/>
              <w:jc w:val="both"/>
              <w:rPr>
                <w:color w:val="000000"/>
                <w:sz w:val="18"/>
                <w:szCs w:val="18"/>
              </w:rPr>
            </w:pPr>
          </w:p>
        </w:tc>
      </w:tr>
    </w:tbl>
    <w:p w14:paraId="4CA15A0D" w14:textId="77777777" w:rsidR="00793DC4" w:rsidRDefault="00793DC4">
      <w:pPr>
        <w:widowControl w:val="0"/>
        <w:autoSpaceDE w:val="0"/>
        <w:autoSpaceDN w:val="0"/>
        <w:adjustRightInd w:val="0"/>
        <w:jc w:val="both"/>
        <w:rPr>
          <w:color w:val="000000"/>
        </w:rPr>
      </w:pPr>
    </w:p>
    <w:p w14:paraId="65088095" w14:textId="77777777" w:rsidR="00793DC4" w:rsidRDefault="00793DC4">
      <w:pPr>
        <w:widowControl w:val="0"/>
        <w:autoSpaceDE w:val="0"/>
        <w:autoSpaceDN w:val="0"/>
        <w:adjustRightInd w:val="0"/>
        <w:jc w:val="both"/>
        <w:rPr>
          <w:color w:val="000000"/>
          <w:sz w:val="16"/>
          <w:szCs w:val="16"/>
        </w:rPr>
      </w:pPr>
      <w:r>
        <w:rPr>
          <w:color w:val="000000"/>
        </w:rPr>
        <w:t>The Supreme Court rejected Wyeth’s argument. It began by citing the “central premise of federal drug regulation that the manufacturer bears responsibility for the content of its label at all times.”</w:t>
      </w:r>
      <w:bookmarkStart w:id="162" w:name="co_footnoteReference_B00822041287330_ID0"/>
      <w:bookmarkEnd w:id="162"/>
      <w:r>
        <w:rPr>
          <w:color w:val="000000"/>
          <w:sz w:val="16"/>
          <w:szCs w:val="16"/>
        </w:rPr>
        <w:fldChar w:fldCharType="begin"/>
      </w:r>
      <w:r>
        <w:rPr>
          <w:color w:val="000000"/>
          <w:sz w:val="16"/>
          <w:szCs w:val="16"/>
        </w:rPr>
        <w:instrText xml:space="preserve">HYPERLINK "#co_footnote_B00822041287330_1" </w:instrText>
      </w:r>
      <w:r w:rsidR="00F61700">
        <w:rPr>
          <w:color w:val="000000"/>
          <w:sz w:val="16"/>
          <w:szCs w:val="16"/>
        </w:rPr>
      </w:r>
      <w:r>
        <w:rPr>
          <w:color w:val="000000"/>
          <w:sz w:val="16"/>
          <w:szCs w:val="16"/>
        </w:rPr>
        <w:fldChar w:fldCharType="separate"/>
      </w:r>
      <w:r>
        <w:rPr>
          <w:color w:val="000000"/>
          <w:sz w:val="16"/>
          <w:szCs w:val="16"/>
          <w:vertAlign w:val="superscript"/>
        </w:rPr>
        <w:t>81</w:t>
      </w:r>
      <w:r>
        <w:rPr>
          <w:color w:val="000000"/>
          <w:sz w:val="16"/>
          <w:szCs w:val="16"/>
        </w:rPr>
        <w:fldChar w:fldCharType="end"/>
      </w:r>
      <w:r>
        <w:rPr>
          <w:color w:val="000000"/>
        </w:rPr>
        <w:t xml:space="preserve"> Under this rule, a manufacturer “is charged both with crafting an adequate label and with ensuring that its warnings remain adequate as long as the drug is on the market.”</w:t>
      </w:r>
      <w:bookmarkStart w:id="163" w:name="co_footnoteReference_B00832041287330_ID0"/>
      <w:bookmarkEnd w:id="163"/>
      <w:r>
        <w:rPr>
          <w:color w:val="000000"/>
          <w:sz w:val="16"/>
          <w:szCs w:val="16"/>
        </w:rPr>
        <w:fldChar w:fldCharType="begin"/>
      </w:r>
      <w:r>
        <w:rPr>
          <w:color w:val="000000"/>
          <w:sz w:val="16"/>
          <w:szCs w:val="16"/>
        </w:rPr>
        <w:instrText xml:space="preserve">HYPERLINK "#co_footnote_B00832041287330_1" </w:instrText>
      </w:r>
      <w:r w:rsidR="00F61700">
        <w:rPr>
          <w:color w:val="000000"/>
          <w:sz w:val="16"/>
          <w:szCs w:val="16"/>
        </w:rPr>
      </w:r>
      <w:r>
        <w:rPr>
          <w:color w:val="000000"/>
          <w:sz w:val="16"/>
          <w:szCs w:val="16"/>
        </w:rPr>
        <w:fldChar w:fldCharType="separate"/>
      </w:r>
      <w:r>
        <w:rPr>
          <w:color w:val="000000"/>
          <w:sz w:val="16"/>
          <w:szCs w:val="16"/>
          <w:vertAlign w:val="superscript"/>
        </w:rPr>
        <w:t>82</w:t>
      </w:r>
      <w:r>
        <w:rPr>
          <w:color w:val="000000"/>
          <w:sz w:val="16"/>
          <w:szCs w:val="16"/>
        </w:rPr>
        <w:fldChar w:fldCharType="end"/>
      </w:r>
      <w:r>
        <w:rPr>
          <w:color w:val="000000"/>
        </w:rPr>
        <w:t xml:space="preserve"> Thus, when the risks of a particular drug use become apparent, the manufacturer has “a duty to provide a warning that adequately describe[s] that risk.”</w:t>
      </w:r>
      <w:bookmarkStart w:id="164" w:name="co_footnoteReference_B00842041287330_ID0"/>
      <w:bookmarkEnd w:id="164"/>
      <w:r>
        <w:rPr>
          <w:color w:val="000000"/>
          <w:sz w:val="16"/>
          <w:szCs w:val="16"/>
        </w:rPr>
        <w:fldChar w:fldCharType="begin"/>
      </w:r>
      <w:r>
        <w:rPr>
          <w:color w:val="000000"/>
          <w:sz w:val="16"/>
          <w:szCs w:val="16"/>
        </w:rPr>
        <w:instrText xml:space="preserve">HYPERLINK "#co_footnote_B00842041287330_1" </w:instrText>
      </w:r>
      <w:r w:rsidR="00F61700">
        <w:rPr>
          <w:color w:val="000000"/>
          <w:sz w:val="16"/>
          <w:szCs w:val="16"/>
        </w:rPr>
      </w:r>
      <w:r>
        <w:rPr>
          <w:color w:val="000000"/>
          <w:sz w:val="16"/>
          <w:szCs w:val="16"/>
        </w:rPr>
        <w:fldChar w:fldCharType="separate"/>
      </w:r>
      <w:r>
        <w:rPr>
          <w:color w:val="000000"/>
          <w:sz w:val="16"/>
          <w:szCs w:val="16"/>
          <w:vertAlign w:val="superscript"/>
        </w:rPr>
        <w:t>83</w:t>
      </w:r>
      <w:r>
        <w:rPr>
          <w:color w:val="000000"/>
          <w:sz w:val="16"/>
          <w:szCs w:val="16"/>
        </w:rPr>
        <w:fldChar w:fldCharType="end"/>
      </w:r>
    </w:p>
    <w:p w14:paraId="1239C87F"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6C7CA87A" w14:textId="77777777">
        <w:tblPrEx>
          <w:tblCellMar>
            <w:top w:w="0" w:type="dxa"/>
            <w:left w:w="0" w:type="dxa"/>
            <w:bottom w:w="0" w:type="dxa"/>
            <w:right w:w="0" w:type="dxa"/>
          </w:tblCellMar>
        </w:tblPrEx>
        <w:tc>
          <w:tcPr>
            <w:tcW w:w="600" w:type="dxa"/>
            <w:tcBorders>
              <w:top w:val="nil"/>
              <w:left w:val="nil"/>
              <w:bottom w:val="nil"/>
              <w:right w:val="nil"/>
            </w:tcBorders>
          </w:tcPr>
          <w:bookmarkStart w:id="165" w:name="co_footnote_B00822041287330_1"/>
          <w:bookmarkEnd w:id="165"/>
          <w:p w14:paraId="4DCD66FC"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"#co_footnoteReference_B00822041287330_ID0" </w:instrText>
            </w:r>
            <w:r w:rsidR="00F61700">
              <w:rPr>
                <w:color w:val="000000"/>
              </w:rPr>
            </w:r>
            <w:r>
              <w:rPr>
                <w:color w:val="000000"/>
              </w:rPr>
              <w:fldChar w:fldCharType="separate"/>
            </w:r>
            <w:r>
              <w:rPr>
                <w:color w:val="000000"/>
                <w:vertAlign w:val="superscript"/>
              </w:rPr>
              <w:t>81</w:t>
            </w:r>
            <w:r>
              <w:rPr>
                <w:color w:val="000000"/>
              </w:rPr>
              <w:fldChar w:fldCharType="end"/>
            </w:r>
          </w:p>
          <w:p w14:paraId="5BF4A9E3"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54264939" w14:textId="77777777" w:rsidR="00793DC4" w:rsidRDefault="00793DC4">
            <w:pPr>
              <w:widowControl w:val="0"/>
              <w:autoSpaceDE w:val="0"/>
              <w:autoSpaceDN w:val="0"/>
              <w:adjustRightInd w:val="0"/>
              <w:jc w:val="both"/>
              <w:rPr>
                <w:color w:val="000000"/>
                <w:sz w:val="18"/>
                <w:szCs w:val="18"/>
              </w:rPr>
            </w:pPr>
            <w:hyperlink r:id="rId235" w:history="1">
              <w:r>
                <w:rPr>
                  <w:i/>
                  <w:iCs/>
                  <w:color w:val="000000"/>
                  <w:sz w:val="18"/>
                  <w:szCs w:val="18"/>
                </w:rPr>
                <w:t>Id.</w:t>
              </w:r>
              <w:r>
                <w:rPr>
                  <w:color w:val="000000"/>
                  <w:sz w:val="18"/>
                  <w:szCs w:val="18"/>
                </w:rPr>
                <w:t xml:space="preserve"> at 570-71, 129 </w:t>
              </w:r>
              <w:proofErr w:type="spellStart"/>
              <w:r>
                <w:rPr>
                  <w:color w:val="000000"/>
                  <w:sz w:val="18"/>
                  <w:szCs w:val="18"/>
                </w:rPr>
                <w:t>S.Ct</w:t>
              </w:r>
              <w:proofErr w:type="spellEnd"/>
              <w:r>
                <w:rPr>
                  <w:color w:val="000000"/>
                  <w:sz w:val="18"/>
                  <w:szCs w:val="18"/>
                </w:rPr>
                <w:t>. 1187</w:t>
              </w:r>
            </w:hyperlink>
            <w:r>
              <w:rPr>
                <w:color w:val="000000"/>
                <w:sz w:val="18"/>
                <w:szCs w:val="18"/>
              </w:rPr>
              <w:t>.</w:t>
            </w:r>
          </w:p>
          <w:p w14:paraId="5BD3EECA" w14:textId="77777777" w:rsidR="00793DC4" w:rsidRDefault="00793DC4">
            <w:pPr>
              <w:widowControl w:val="0"/>
              <w:autoSpaceDE w:val="0"/>
              <w:autoSpaceDN w:val="0"/>
              <w:adjustRightInd w:val="0"/>
              <w:jc w:val="both"/>
              <w:rPr>
                <w:color w:val="000000"/>
                <w:sz w:val="18"/>
                <w:szCs w:val="18"/>
              </w:rPr>
            </w:pPr>
          </w:p>
        </w:tc>
      </w:tr>
    </w:tbl>
    <w:p w14:paraId="05583C25"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064EA9E1" w14:textId="77777777">
        <w:tblPrEx>
          <w:tblCellMar>
            <w:top w:w="0" w:type="dxa"/>
            <w:left w:w="0" w:type="dxa"/>
            <w:bottom w:w="0" w:type="dxa"/>
            <w:right w:w="0" w:type="dxa"/>
          </w:tblCellMar>
        </w:tblPrEx>
        <w:tc>
          <w:tcPr>
            <w:tcW w:w="600" w:type="dxa"/>
            <w:tcBorders>
              <w:top w:val="nil"/>
              <w:left w:val="nil"/>
              <w:bottom w:val="nil"/>
              <w:right w:val="nil"/>
            </w:tcBorders>
          </w:tcPr>
          <w:bookmarkStart w:id="166" w:name="co_footnote_B00832041287330_1"/>
          <w:bookmarkEnd w:id="166"/>
          <w:p w14:paraId="2508199B"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"#co_footnoteReference_B00832041287330_ID0" </w:instrText>
            </w:r>
            <w:r w:rsidR="00F61700">
              <w:rPr>
                <w:color w:val="000000"/>
              </w:rPr>
            </w:r>
            <w:r>
              <w:rPr>
                <w:color w:val="000000"/>
              </w:rPr>
              <w:fldChar w:fldCharType="separate"/>
            </w:r>
            <w:r>
              <w:rPr>
                <w:color w:val="000000"/>
                <w:vertAlign w:val="superscript"/>
              </w:rPr>
              <w:t>82</w:t>
            </w:r>
            <w:r>
              <w:rPr>
                <w:color w:val="000000"/>
              </w:rPr>
              <w:fldChar w:fldCharType="end"/>
            </w:r>
          </w:p>
          <w:p w14:paraId="42CB11B2"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0372B0F6" w14:textId="77777777" w:rsidR="00793DC4" w:rsidRDefault="00793DC4">
            <w:pPr>
              <w:widowControl w:val="0"/>
              <w:autoSpaceDE w:val="0"/>
              <w:autoSpaceDN w:val="0"/>
              <w:adjustRightInd w:val="0"/>
              <w:jc w:val="both"/>
              <w:rPr>
                <w:color w:val="000000"/>
                <w:sz w:val="18"/>
                <w:szCs w:val="18"/>
              </w:rPr>
            </w:pPr>
            <w:hyperlink r:id="rId236" w:history="1">
              <w:r>
                <w:rPr>
                  <w:i/>
                  <w:iCs/>
                  <w:color w:val="000000"/>
                  <w:sz w:val="18"/>
                  <w:szCs w:val="18"/>
                </w:rPr>
                <w:t>Id</w:t>
              </w:r>
              <w:r>
                <w:rPr>
                  <w:color w:val="000000"/>
                  <w:sz w:val="18"/>
                  <w:szCs w:val="18"/>
                </w:rPr>
                <w:t xml:space="preserve">. at 571, 129 </w:t>
              </w:r>
              <w:proofErr w:type="spellStart"/>
              <w:r>
                <w:rPr>
                  <w:color w:val="000000"/>
                  <w:sz w:val="18"/>
                  <w:szCs w:val="18"/>
                </w:rPr>
                <w:t>S.Ct</w:t>
              </w:r>
              <w:proofErr w:type="spellEnd"/>
              <w:r>
                <w:rPr>
                  <w:color w:val="000000"/>
                  <w:sz w:val="18"/>
                  <w:szCs w:val="18"/>
                </w:rPr>
                <w:t>. 1187</w:t>
              </w:r>
            </w:hyperlink>
            <w:r>
              <w:rPr>
                <w:color w:val="000000"/>
                <w:sz w:val="18"/>
                <w:szCs w:val="18"/>
              </w:rPr>
              <w:t>.</w:t>
            </w:r>
          </w:p>
          <w:p w14:paraId="61FB71EE" w14:textId="77777777" w:rsidR="00793DC4" w:rsidRDefault="00793DC4">
            <w:pPr>
              <w:widowControl w:val="0"/>
              <w:autoSpaceDE w:val="0"/>
              <w:autoSpaceDN w:val="0"/>
              <w:adjustRightInd w:val="0"/>
              <w:jc w:val="both"/>
              <w:rPr>
                <w:color w:val="000000"/>
                <w:sz w:val="18"/>
                <w:szCs w:val="18"/>
              </w:rPr>
            </w:pPr>
          </w:p>
        </w:tc>
      </w:tr>
    </w:tbl>
    <w:p w14:paraId="12D7DE3B"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2B27DB4D" w14:textId="77777777">
        <w:tblPrEx>
          <w:tblCellMar>
            <w:top w:w="0" w:type="dxa"/>
            <w:left w:w="0" w:type="dxa"/>
            <w:bottom w:w="0" w:type="dxa"/>
            <w:right w:w="0" w:type="dxa"/>
          </w:tblCellMar>
        </w:tblPrEx>
        <w:tc>
          <w:tcPr>
            <w:tcW w:w="600" w:type="dxa"/>
            <w:tcBorders>
              <w:top w:val="nil"/>
              <w:left w:val="nil"/>
              <w:bottom w:val="nil"/>
              <w:right w:val="nil"/>
            </w:tcBorders>
          </w:tcPr>
          <w:bookmarkStart w:id="167" w:name="co_footnote_B00842041287330_1"/>
          <w:bookmarkEnd w:id="167"/>
          <w:p w14:paraId="7E752777"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"#co_footnoteReference_B00842041287330_ID0" </w:instrText>
            </w:r>
            <w:r w:rsidR="00F61700">
              <w:rPr>
                <w:color w:val="000000"/>
              </w:rPr>
            </w:r>
            <w:r>
              <w:rPr>
                <w:color w:val="000000"/>
              </w:rPr>
              <w:fldChar w:fldCharType="separate"/>
            </w:r>
            <w:r>
              <w:rPr>
                <w:color w:val="000000"/>
                <w:vertAlign w:val="superscript"/>
              </w:rPr>
              <w:t>83</w:t>
            </w:r>
            <w:r>
              <w:rPr>
                <w:color w:val="000000"/>
              </w:rPr>
              <w:fldChar w:fldCharType="end"/>
            </w:r>
          </w:p>
          <w:p w14:paraId="6F77FC9C"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6922DA97" w14:textId="77777777" w:rsidR="00793DC4" w:rsidRDefault="00793DC4">
            <w:pPr>
              <w:widowControl w:val="0"/>
              <w:autoSpaceDE w:val="0"/>
              <w:autoSpaceDN w:val="0"/>
              <w:adjustRightInd w:val="0"/>
              <w:jc w:val="both"/>
              <w:rPr>
                <w:color w:val="000000"/>
                <w:sz w:val="18"/>
                <w:szCs w:val="18"/>
              </w:rPr>
            </w:pPr>
            <w:hyperlink r:id="rId237" w:history="1">
              <w:r>
                <w:rPr>
                  <w:i/>
                  <w:iCs/>
                  <w:color w:val="000000"/>
                  <w:sz w:val="18"/>
                  <w:szCs w:val="18"/>
                </w:rPr>
                <w:t>Id</w:t>
              </w:r>
              <w:r>
                <w:rPr>
                  <w:color w:val="000000"/>
                  <w:sz w:val="18"/>
                  <w:szCs w:val="18"/>
                </w:rPr>
                <w:t>.</w:t>
              </w:r>
            </w:hyperlink>
          </w:p>
          <w:p w14:paraId="7928BEAD" w14:textId="77777777" w:rsidR="00793DC4" w:rsidRDefault="00793DC4">
            <w:pPr>
              <w:widowControl w:val="0"/>
              <w:autoSpaceDE w:val="0"/>
              <w:autoSpaceDN w:val="0"/>
              <w:adjustRightInd w:val="0"/>
              <w:jc w:val="both"/>
              <w:rPr>
                <w:color w:val="000000"/>
                <w:sz w:val="18"/>
                <w:szCs w:val="18"/>
              </w:rPr>
            </w:pPr>
          </w:p>
        </w:tc>
      </w:tr>
    </w:tbl>
    <w:p w14:paraId="3314D48B" w14:textId="77777777" w:rsidR="00793DC4" w:rsidRDefault="00793DC4">
      <w:pPr>
        <w:widowControl w:val="0"/>
        <w:autoSpaceDE w:val="0"/>
        <w:autoSpaceDN w:val="0"/>
        <w:adjustRightInd w:val="0"/>
        <w:jc w:val="both"/>
        <w:rPr>
          <w:color w:val="000000"/>
        </w:rPr>
      </w:pPr>
    </w:p>
    <w:p w14:paraId="412A9B7B" w14:textId="77777777" w:rsidR="00793DC4" w:rsidRDefault="00793DC4">
      <w:pPr>
        <w:widowControl w:val="0"/>
        <w:autoSpaceDE w:val="0"/>
        <w:autoSpaceDN w:val="0"/>
        <w:adjustRightInd w:val="0"/>
        <w:jc w:val="both"/>
        <w:rPr>
          <w:color w:val="000000"/>
          <w:sz w:val="16"/>
          <w:szCs w:val="16"/>
        </w:rPr>
      </w:pPr>
      <w:r>
        <w:rPr>
          <w:color w:val="000000"/>
        </w:rPr>
        <w:t>In response to Wyeth’s contention that federal law made it impossible to add the warnings the plaintiff claimed were necessary, the Court observed that drug manufacturers are allowed to strengthen an FDA-approved warning label without FDA approval through the CBE process.</w:t>
      </w:r>
      <w:bookmarkStart w:id="168" w:name="co_footnoteReference_B00852041287330_ID0"/>
      <w:bookmarkEnd w:id="168"/>
      <w:r>
        <w:rPr>
          <w:color w:val="000000"/>
          <w:sz w:val="16"/>
          <w:szCs w:val="16"/>
        </w:rPr>
        <w:fldChar w:fldCharType="begin"/>
      </w:r>
      <w:r>
        <w:rPr>
          <w:color w:val="000000"/>
          <w:sz w:val="16"/>
          <w:szCs w:val="16"/>
        </w:rPr>
        <w:instrText xml:space="preserve">HYPERLINK "#co_footnote_B00852041287330_1" </w:instrText>
      </w:r>
      <w:r w:rsidR="00F61700">
        <w:rPr>
          <w:color w:val="000000"/>
          <w:sz w:val="16"/>
          <w:szCs w:val="16"/>
        </w:rPr>
      </w:r>
      <w:r>
        <w:rPr>
          <w:color w:val="000000"/>
          <w:sz w:val="16"/>
          <w:szCs w:val="16"/>
        </w:rPr>
        <w:fldChar w:fldCharType="separate"/>
      </w:r>
      <w:r>
        <w:rPr>
          <w:color w:val="000000"/>
          <w:sz w:val="16"/>
          <w:szCs w:val="16"/>
          <w:vertAlign w:val="superscript"/>
        </w:rPr>
        <w:t>84</w:t>
      </w:r>
      <w:r>
        <w:rPr>
          <w:color w:val="000000"/>
          <w:sz w:val="16"/>
          <w:szCs w:val="16"/>
        </w:rPr>
        <w:fldChar w:fldCharType="end"/>
      </w:r>
      <w:r>
        <w:rPr>
          <w:color w:val="000000"/>
        </w:rPr>
        <w:t xml:space="preserve"> Wyeth therefore could not establish impossibility preemption because the CBE regulation “permitted [Wyeth] to provide ... a warning [of the risk of </w:t>
      </w:r>
      <w:hyperlink r:id="rId238" w:history="1">
        <w:r>
          <w:rPr>
            <w:color w:val="000000"/>
          </w:rPr>
          <w:t>gangrene</w:t>
        </w:r>
      </w:hyperlink>
      <w:r>
        <w:rPr>
          <w:color w:val="000000"/>
        </w:rPr>
        <w:t>] before receiving the FDA’s approval.”</w:t>
      </w:r>
      <w:bookmarkStart w:id="169" w:name="co_footnoteReference_B00862041287330_ID0"/>
      <w:bookmarkEnd w:id="169"/>
      <w:r>
        <w:rPr>
          <w:color w:val="000000"/>
          <w:sz w:val="16"/>
          <w:szCs w:val="16"/>
        </w:rPr>
        <w:fldChar w:fldCharType="begin"/>
      </w:r>
      <w:r>
        <w:rPr>
          <w:color w:val="000000"/>
          <w:sz w:val="16"/>
          <w:szCs w:val="16"/>
        </w:rPr>
        <w:instrText xml:space="preserve">HYPERLINK "#co_footnote_B00862041287330_1" </w:instrText>
      </w:r>
      <w:r w:rsidR="00F61700">
        <w:rPr>
          <w:color w:val="000000"/>
          <w:sz w:val="16"/>
          <w:szCs w:val="16"/>
        </w:rPr>
      </w:r>
      <w:r>
        <w:rPr>
          <w:color w:val="000000"/>
          <w:sz w:val="16"/>
          <w:szCs w:val="16"/>
        </w:rPr>
        <w:fldChar w:fldCharType="separate"/>
      </w:r>
      <w:r>
        <w:rPr>
          <w:color w:val="000000"/>
          <w:sz w:val="16"/>
          <w:szCs w:val="16"/>
          <w:vertAlign w:val="superscript"/>
        </w:rPr>
        <w:t>85</w:t>
      </w:r>
      <w:r>
        <w:rPr>
          <w:color w:val="000000"/>
          <w:sz w:val="16"/>
          <w:szCs w:val="16"/>
        </w:rPr>
        <w:fldChar w:fldCharType="end"/>
      </w:r>
    </w:p>
    <w:p w14:paraId="1A9BA65C"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44D96389" w14:textId="77777777">
        <w:tblPrEx>
          <w:tblCellMar>
            <w:top w:w="0" w:type="dxa"/>
            <w:left w:w="0" w:type="dxa"/>
            <w:bottom w:w="0" w:type="dxa"/>
            <w:right w:w="0" w:type="dxa"/>
          </w:tblCellMar>
        </w:tblPrEx>
        <w:tc>
          <w:tcPr>
            <w:tcW w:w="600" w:type="dxa"/>
            <w:tcBorders>
              <w:top w:val="nil"/>
              <w:left w:val="nil"/>
              <w:bottom w:val="nil"/>
              <w:right w:val="nil"/>
            </w:tcBorders>
          </w:tcPr>
          <w:bookmarkStart w:id="170" w:name="co_footnote_B00852041287330_1"/>
          <w:bookmarkEnd w:id="170"/>
          <w:p w14:paraId="6049E7BE"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"#co_footnoteReference_B00852041287330_ID0" </w:instrText>
            </w:r>
            <w:r w:rsidR="00F61700">
              <w:rPr>
                <w:color w:val="000000"/>
              </w:rPr>
            </w:r>
            <w:r>
              <w:rPr>
                <w:color w:val="000000"/>
              </w:rPr>
              <w:fldChar w:fldCharType="separate"/>
            </w:r>
            <w:r>
              <w:rPr>
                <w:color w:val="000000"/>
                <w:vertAlign w:val="superscript"/>
              </w:rPr>
              <w:t>84</w:t>
            </w:r>
            <w:r>
              <w:rPr>
                <w:color w:val="000000"/>
              </w:rPr>
              <w:fldChar w:fldCharType="end"/>
            </w:r>
          </w:p>
          <w:p w14:paraId="0E4C5970"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220FE95E" w14:textId="77777777" w:rsidR="00793DC4" w:rsidRDefault="00793DC4">
            <w:pPr>
              <w:widowControl w:val="0"/>
              <w:autoSpaceDE w:val="0"/>
              <w:autoSpaceDN w:val="0"/>
              <w:adjustRightInd w:val="0"/>
              <w:jc w:val="both"/>
              <w:rPr>
                <w:color w:val="000000"/>
                <w:sz w:val="18"/>
                <w:szCs w:val="18"/>
              </w:rPr>
            </w:pPr>
            <w:hyperlink r:id="rId239" w:history="1">
              <w:r>
                <w:rPr>
                  <w:i/>
                  <w:iCs/>
                  <w:color w:val="000000"/>
                  <w:sz w:val="18"/>
                  <w:szCs w:val="18"/>
                </w:rPr>
                <w:t>Id.</w:t>
              </w:r>
              <w:r>
                <w:rPr>
                  <w:color w:val="000000"/>
                  <w:sz w:val="18"/>
                  <w:szCs w:val="18"/>
                </w:rPr>
                <w:t xml:space="preserve"> at 568, 129 </w:t>
              </w:r>
              <w:proofErr w:type="spellStart"/>
              <w:r>
                <w:rPr>
                  <w:color w:val="000000"/>
                  <w:sz w:val="18"/>
                  <w:szCs w:val="18"/>
                </w:rPr>
                <w:t>S.Ct</w:t>
              </w:r>
              <w:proofErr w:type="spellEnd"/>
              <w:r>
                <w:rPr>
                  <w:color w:val="000000"/>
                  <w:sz w:val="18"/>
                  <w:szCs w:val="18"/>
                </w:rPr>
                <w:t>. 1187</w:t>
              </w:r>
            </w:hyperlink>
            <w:r>
              <w:rPr>
                <w:color w:val="000000"/>
                <w:sz w:val="18"/>
                <w:szCs w:val="18"/>
              </w:rPr>
              <w:t>.</w:t>
            </w:r>
          </w:p>
          <w:p w14:paraId="57788028" w14:textId="77777777" w:rsidR="00793DC4" w:rsidRDefault="00793DC4">
            <w:pPr>
              <w:widowControl w:val="0"/>
              <w:autoSpaceDE w:val="0"/>
              <w:autoSpaceDN w:val="0"/>
              <w:adjustRightInd w:val="0"/>
              <w:jc w:val="both"/>
              <w:rPr>
                <w:color w:val="000000"/>
                <w:sz w:val="18"/>
                <w:szCs w:val="18"/>
              </w:rPr>
            </w:pPr>
          </w:p>
        </w:tc>
      </w:tr>
    </w:tbl>
    <w:p w14:paraId="62CC52EA"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3D48B08A" w14:textId="77777777">
        <w:tblPrEx>
          <w:tblCellMar>
            <w:top w:w="0" w:type="dxa"/>
            <w:left w:w="0" w:type="dxa"/>
            <w:bottom w:w="0" w:type="dxa"/>
            <w:right w:w="0" w:type="dxa"/>
          </w:tblCellMar>
        </w:tblPrEx>
        <w:tc>
          <w:tcPr>
            <w:tcW w:w="600" w:type="dxa"/>
            <w:tcBorders>
              <w:top w:val="nil"/>
              <w:left w:val="nil"/>
              <w:bottom w:val="nil"/>
              <w:right w:val="nil"/>
            </w:tcBorders>
          </w:tcPr>
          <w:bookmarkStart w:id="171" w:name="co_footnote_B00862041287330_1"/>
          <w:bookmarkEnd w:id="171"/>
          <w:p w14:paraId="5395B42C"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"#co_footnoteReference_B00862041287330_ID0" </w:instrText>
            </w:r>
            <w:r w:rsidR="00F61700">
              <w:rPr>
                <w:color w:val="000000"/>
              </w:rPr>
            </w:r>
            <w:r>
              <w:rPr>
                <w:color w:val="000000"/>
              </w:rPr>
              <w:fldChar w:fldCharType="separate"/>
            </w:r>
            <w:r>
              <w:rPr>
                <w:color w:val="000000"/>
                <w:vertAlign w:val="superscript"/>
              </w:rPr>
              <w:t>85</w:t>
            </w:r>
            <w:r>
              <w:rPr>
                <w:color w:val="000000"/>
              </w:rPr>
              <w:fldChar w:fldCharType="end"/>
            </w:r>
          </w:p>
          <w:p w14:paraId="312DDBAB"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4751073D" w14:textId="77777777" w:rsidR="00793DC4" w:rsidRDefault="00793DC4">
            <w:pPr>
              <w:widowControl w:val="0"/>
              <w:autoSpaceDE w:val="0"/>
              <w:autoSpaceDN w:val="0"/>
              <w:adjustRightInd w:val="0"/>
              <w:jc w:val="both"/>
              <w:rPr>
                <w:color w:val="000000"/>
                <w:sz w:val="18"/>
                <w:szCs w:val="18"/>
              </w:rPr>
            </w:pPr>
            <w:hyperlink r:id="rId240" w:history="1">
              <w:r>
                <w:rPr>
                  <w:i/>
                  <w:iCs/>
                  <w:color w:val="000000"/>
                  <w:sz w:val="18"/>
                  <w:szCs w:val="18"/>
                </w:rPr>
                <w:t>Id</w:t>
              </w:r>
              <w:r>
                <w:rPr>
                  <w:color w:val="000000"/>
                  <w:sz w:val="18"/>
                  <w:szCs w:val="18"/>
                </w:rPr>
                <w:t xml:space="preserve">. at 571, 129 </w:t>
              </w:r>
              <w:proofErr w:type="spellStart"/>
              <w:r>
                <w:rPr>
                  <w:color w:val="000000"/>
                  <w:sz w:val="18"/>
                  <w:szCs w:val="18"/>
                </w:rPr>
                <w:t>S.Ct</w:t>
              </w:r>
              <w:proofErr w:type="spellEnd"/>
              <w:r>
                <w:rPr>
                  <w:color w:val="000000"/>
                  <w:sz w:val="18"/>
                  <w:szCs w:val="18"/>
                </w:rPr>
                <w:t>. 1187</w:t>
              </w:r>
            </w:hyperlink>
            <w:r>
              <w:rPr>
                <w:color w:val="000000"/>
                <w:sz w:val="18"/>
                <w:szCs w:val="18"/>
              </w:rPr>
              <w:t>.</w:t>
            </w:r>
          </w:p>
          <w:p w14:paraId="0A8F7A04" w14:textId="77777777" w:rsidR="00793DC4" w:rsidRDefault="00793DC4">
            <w:pPr>
              <w:widowControl w:val="0"/>
              <w:autoSpaceDE w:val="0"/>
              <w:autoSpaceDN w:val="0"/>
              <w:adjustRightInd w:val="0"/>
              <w:jc w:val="both"/>
              <w:rPr>
                <w:color w:val="000000"/>
                <w:sz w:val="18"/>
                <w:szCs w:val="18"/>
              </w:rPr>
            </w:pPr>
          </w:p>
        </w:tc>
      </w:tr>
    </w:tbl>
    <w:p w14:paraId="28A963BE" w14:textId="77777777" w:rsidR="00793DC4" w:rsidRDefault="00793DC4">
      <w:pPr>
        <w:widowControl w:val="0"/>
        <w:autoSpaceDE w:val="0"/>
        <w:autoSpaceDN w:val="0"/>
        <w:adjustRightInd w:val="0"/>
        <w:jc w:val="both"/>
        <w:rPr>
          <w:color w:val="000000"/>
        </w:rPr>
      </w:pPr>
    </w:p>
    <w:p w14:paraId="0564400D" w14:textId="77777777" w:rsidR="00793DC4" w:rsidRDefault="00793DC4">
      <w:pPr>
        <w:widowControl w:val="0"/>
        <w:autoSpaceDE w:val="0"/>
        <w:autoSpaceDN w:val="0"/>
        <w:adjustRightInd w:val="0"/>
        <w:jc w:val="both"/>
        <w:rPr>
          <w:color w:val="000000"/>
          <w:sz w:val="16"/>
          <w:szCs w:val="16"/>
        </w:rPr>
      </w:pPr>
      <w:hyperlink r:id="rId241" w:history="1">
        <w:r>
          <w:rPr>
            <w:b/>
            <w:bCs/>
            <w:color w:val="000000"/>
            <w:vertAlign w:val="superscript"/>
          </w:rPr>
          <w:t>[4]</w:t>
        </w:r>
      </w:hyperlink>
      <w:r>
        <w:rPr>
          <w:color w:val="000000"/>
        </w:rPr>
        <w:t>The Supreme Court cautioned, however, that the mere availability of a CBE label amendment would not always defeat a manufacturer’s preemption defense, because the FDA “retains authority to reject labeling changes.”</w:t>
      </w:r>
      <w:bookmarkStart w:id="172" w:name="co_footnoteReference_B00872041287330_ID0"/>
      <w:bookmarkEnd w:id="172"/>
      <w:r>
        <w:rPr>
          <w:color w:val="000000"/>
          <w:sz w:val="16"/>
          <w:szCs w:val="16"/>
        </w:rPr>
        <w:fldChar w:fldCharType="begin"/>
      </w:r>
      <w:r>
        <w:rPr>
          <w:color w:val="000000"/>
          <w:sz w:val="16"/>
          <w:szCs w:val="16"/>
        </w:rPr>
        <w:instrText xml:space="preserve">HYPERLINK "#co_footnote_B00872041287330_1" </w:instrText>
      </w:r>
      <w:r w:rsidR="00F61700">
        <w:rPr>
          <w:color w:val="000000"/>
          <w:sz w:val="16"/>
          <w:szCs w:val="16"/>
        </w:rPr>
      </w:r>
      <w:r>
        <w:rPr>
          <w:color w:val="000000"/>
          <w:sz w:val="16"/>
          <w:szCs w:val="16"/>
        </w:rPr>
        <w:fldChar w:fldCharType="separate"/>
      </w:r>
      <w:r>
        <w:rPr>
          <w:color w:val="000000"/>
          <w:sz w:val="16"/>
          <w:szCs w:val="16"/>
          <w:vertAlign w:val="superscript"/>
        </w:rPr>
        <w:t>86</w:t>
      </w:r>
      <w:r>
        <w:rPr>
          <w:color w:val="000000"/>
          <w:sz w:val="16"/>
          <w:szCs w:val="16"/>
        </w:rPr>
        <w:fldChar w:fldCharType="end"/>
      </w:r>
      <w:r>
        <w:rPr>
          <w:color w:val="000000"/>
        </w:rPr>
        <w:t xml:space="preserve"> Thus, where there is “clear evidence that the FDA would not have approved a change” to the label, federal law preempts state-law claims premised on the manufacturer’s failure to make that change.</w:t>
      </w:r>
      <w:bookmarkStart w:id="173" w:name="co_footnoteReference_B00882041287330_ID0"/>
      <w:bookmarkEnd w:id="173"/>
      <w:r>
        <w:rPr>
          <w:color w:val="000000"/>
          <w:sz w:val="16"/>
          <w:szCs w:val="16"/>
        </w:rPr>
        <w:fldChar w:fldCharType="begin"/>
      </w:r>
      <w:r>
        <w:rPr>
          <w:color w:val="000000"/>
          <w:sz w:val="16"/>
          <w:szCs w:val="16"/>
        </w:rPr>
        <w:instrText xml:space="preserve">HYPERLINK "#co_footnote_B00882041287330_1" </w:instrText>
      </w:r>
      <w:r w:rsidR="00F61700">
        <w:rPr>
          <w:color w:val="000000"/>
          <w:sz w:val="16"/>
          <w:szCs w:val="16"/>
        </w:rPr>
      </w:r>
      <w:r>
        <w:rPr>
          <w:color w:val="000000"/>
          <w:sz w:val="16"/>
          <w:szCs w:val="16"/>
        </w:rPr>
        <w:fldChar w:fldCharType="separate"/>
      </w:r>
      <w:r>
        <w:rPr>
          <w:color w:val="000000"/>
          <w:sz w:val="16"/>
          <w:szCs w:val="16"/>
          <w:vertAlign w:val="superscript"/>
        </w:rPr>
        <w:t>87</w:t>
      </w:r>
      <w:r>
        <w:rPr>
          <w:color w:val="000000"/>
          <w:sz w:val="16"/>
          <w:szCs w:val="16"/>
        </w:rPr>
        <w:fldChar w:fldCharType="end"/>
      </w:r>
      <w:r>
        <w:rPr>
          <w:color w:val="000000"/>
        </w:rPr>
        <w:t xml:space="preserve"> Impossibility preemption applies in that instance because the </w:t>
      </w:r>
      <w:proofErr w:type="gramStart"/>
      <w:r>
        <w:rPr>
          <w:color w:val="000000"/>
        </w:rPr>
        <w:t>manufacturer would be legally prevented by the FDA from taking the very action that state law ostensibly requires</w:t>
      </w:r>
      <w:proofErr w:type="gramEnd"/>
      <w:r>
        <w:rPr>
          <w:color w:val="000000"/>
        </w:rPr>
        <w:t>.</w:t>
      </w:r>
      <w:bookmarkStart w:id="174" w:name="co_footnoteReference_B00892041287330_ID0"/>
      <w:bookmarkEnd w:id="174"/>
      <w:r>
        <w:rPr>
          <w:color w:val="000000"/>
          <w:sz w:val="16"/>
          <w:szCs w:val="16"/>
        </w:rPr>
        <w:fldChar w:fldCharType="begin"/>
      </w:r>
      <w:r>
        <w:rPr>
          <w:color w:val="000000"/>
          <w:sz w:val="16"/>
          <w:szCs w:val="16"/>
        </w:rPr>
        <w:instrText xml:space="preserve">HYPERLINK "#co_footnote_B00892041287330_1" </w:instrText>
      </w:r>
      <w:r w:rsidR="00F61700">
        <w:rPr>
          <w:color w:val="000000"/>
          <w:sz w:val="16"/>
          <w:szCs w:val="16"/>
        </w:rPr>
      </w:r>
      <w:r>
        <w:rPr>
          <w:color w:val="000000"/>
          <w:sz w:val="16"/>
          <w:szCs w:val="16"/>
        </w:rPr>
        <w:fldChar w:fldCharType="separate"/>
      </w:r>
      <w:r>
        <w:rPr>
          <w:color w:val="000000"/>
          <w:sz w:val="16"/>
          <w:szCs w:val="16"/>
          <w:vertAlign w:val="superscript"/>
        </w:rPr>
        <w:t>88</w:t>
      </w:r>
      <w:r>
        <w:rPr>
          <w:color w:val="000000"/>
          <w:sz w:val="16"/>
          <w:szCs w:val="16"/>
        </w:rPr>
        <w:fldChar w:fldCharType="end"/>
      </w:r>
    </w:p>
    <w:p w14:paraId="71F9E5E5"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356D1B00" w14:textId="77777777">
        <w:tblPrEx>
          <w:tblCellMar>
            <w:top w:w="0" w:type="dxa"/>
            <w:left w:w="0" w:type="dxa"/>
            <w:bottom w:w="0" w:type="dxa"/>
            <w:right w:w="0" w:type="dxa"/>
          </w:tblCellMar>
        </w:tblPrEx>
        <w:tc>
          <w:tcPr>
            <w:tcW w:w="600" w:type="dxa"/>
            <w:tcBorders>
              <w:top w:val="nil"/>
              <w:left w:val="nil"/>
              <w:bottom w:val="nil"/>
              <w:right w:val="nil"/>
            </w:tcBorders>
          </w:tcPr>
          <w:bookmarkStart w:id="175" w:name="co_footnote_B00872041287330_1"/>
          <w:bookmarkEnd w:id="175"/>
          <w:p w14:paraId="1AF584B8"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"#co_footnoteReference_B00872041287330_ID0" </w:instrText>
            </w:r>
            <w:r w:rsidR="00F61700">
              <w:rPr>
                <w:color w:val="000000"/>
              </w:rPr>
            </w:r>
            <w:r>
              <w:rPr>
                <w:color w:val="000000"/>
              </w:rPr>
              <w:fldChar w:fldCharType="separate"/>
            </w:r>
            <w:r>
              <w:rPr>
                <w:color w:val="000000"/>
                <w:vertAlign w:val="superscript"/>
              </w:rPr>
              <w:t>86</w:t>
            </w:r>
            <w:r>
              <w:rPr>
                <w:color w:val="000000"/>
              </w:rPr>
              <w:fldChar w:fldCharType="end"/>
            </w:r>
          </w:p>
          <w:p w14:paraId="57F14A81"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5EC41186" w14:textId="77777777" w:rsidR="00793DC4" w:rsidRDefault="00793DC4">
            <w:pPr>
              <w:widowControl w:val="0"/>
              <w:autoSpaceDE w:val="0"/>
              <w:autoSpaceDN w:val="0"/>
              <w:adjustRightInd w:val="0"/>
              <w:jc w:val="both"/>
              <w:rPr>
                <w:color w:val="000000"/>
                <w:sz w:val="18"/>
                <w:szCs w:val="18"/>
              </w:rPr>
            </w:pPr>
            <w:hyperlink r:id="rId242" w:history="1">
              <w:r>
                <w:rPr>
                  <w:i/>
                  <w:iCs/>
                  <w:color w:val="000000"/>
                  <w:sz w:val="18"/>
                  <w:szCs w:val="18"/>
                </w:rPr>
                <w:t>Id</w:t>
              </w:r>
              <w:r>
                <w:rPr>
                  <w:color w:val="000000"/>
                  <w:sz w:val="18"/>
                  <w:szCs w:val="18"/>
                </w:rPr>
                <w:t>.</w:t>
              </w:r>
            </w:hyperlink>
          </w:p>
          <w:p w14:paraId="22E139A4" w14:textId="77777777" w:rsidR="00793DC4" w:rsidRDefault="00793DC4">
            <w:pPr>
              <w:widowControl w:val="0"/>
              <w:autoSpaceDE w:val="0"/>
              <w:autoSpaceDN w:val="0"/>
              <w:adjustRightInd w:val="0"/>
              <w:jc w:val="both"/>
              <w:rPr>
                <w:color w:val="000000"/>
                <w:sz w:val="18"/>
                <w:szCs w:val="18"/>
              </w:rPr>
            </w:pPr>
          </w:p>
        </w:tc>
      </w:tr>
    </w:tbl>
    <w:p w14:paraId="35B1A159"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0A496F4C" w14:textId="77777777">
        <w:tblPrEx>
          <w:tblCellMar>
            <w:top w:w="0" w:type="dxa"/>
            <w:left w:w="0" w:type="dxa"/>
            <w:bottom w:w="0" w:type="dxa"/>
            <w:right w:w="0" w:type="dxa"/>
          </w:tblCellMar>
        </w:tblPrEx>
        <w:tc>
          <w:tcPr>
            <w:tcW w:w="600" w:type="dxa"/>
            <w:tcBorders>
              <w:top w:val="nil"/>
              <w:left w:val="nil"/>
              <w:bottom w:val="nil"/>
              <w:right w:val="nil"/>
            </w:tcBorders>
          </w:tcPr>
          <w:bookmarkStart w:id="176" w:name="co_footnote_B00882041287330_1"/>
          <w:bookmarkEnd w:id="176"/>
          <w:p w14:paraId="7A879EB5"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"#co_footnoteReference_B00882041287330_ID0" </w:instrText>
            </w:r>
            <w:r w:rsidR="00F61700">
              <w:rPr>
                <w:color w:val="000000"/>
              </w:rPr>
            </w:r>
            <w:r>
              <w:rPr>
                <w:color w:val="000000"/>
              </w:rPr>
              <w:fldChar w:fldCharType="separate"/>
            </w:r>
            <w:r>
              <w:rPr>
                <w:color w:val="000000"/>
                <w:vertAlign w:val="superscript"/>
              </w:rPr>
              <w:t>87</w:t>
            </w:r>
            <w:r>
              <w:rPr>
                <w:color w:val="000000"/>
              </w:rPr>
              <w:fldChar w:fldCharType="end"/>
            </w:r>
          </w:p>
          <w:p w14:paraId="3FE07B9E"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21F32B9A" w14:textId="77777777" w:rsidR="00793DC4" w:rsidRDefault="00793DC4">
            <w:pPr>
              <w:widowControl w:val="0"/>
              <w:autoSpaceDE w:val="0"/>
              <w:autoSpaceDN w:val="0"/>
              <w:adjustRightInd w:val="0"/>
              <w:jc w:val="both"/>
              <w:rPr>
                <w:color w:val="000000"/>
                <w:sz w:val="18"/>
                <w:szCs w:val="18"/>
              </w:rPr>
            </w:pPr>
            <w:hyperlink r:id="rId243" w:history="1">
              <w:r>
                <w:rPr>
                  <w:i/>
                  <w:iCs/>
                  <w:color w:val="000000"/>
                  <w:sz w:val="18"/>
                  <w:szCs w:val="18"/>
                </w:rPr>
                <w:t>Id</w:t>
              </w:r>
              <w:r>
                <w:rPr>
                  <w:color w:val="000000"/>
                  <w:sz w:val="18"/>
                  <w:szCs w:val="18"/>
                </w:rPr>
                <w:t>.</w:t>
              </w:r>
            </w:hyperlink>
          </w:p>
          <w:p w14:paraId="08DC6633" w14:textId="77777777" w:rsidR="00793DC4" w:rsidRDefault="00793DC4">
            <w:pPr>
              <w:widowControl w:val="0"/>
              <w:autoSpaceDE w:val="0"/>
              <w:autoSpaceDN w:val="0"/>
              <w:adjustRightInd w:val="0"/>
              <w:jc w:val="both"/>
              <w:rPr>
                <w:color w:val="000000"/>
                <w:sz w:val="18"/>
                <w:szCs w:val="18"/>
              </w:rPr>
            </w:pPr>
          </w:p>
        </w:tc>
      </w:tr>
    </w:tbl>
    <w:p w14:paraId="3E3F7600"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3870E17F" w14:textId="77777777">
        <w:tblPrEx>
          <w:tblCellMar>
            <w:top w:w="0" w:type="dxa"/>
            <w:left w:w="0" w:type="dxa"/>
            <w:bottom w:w="0" w:type="dxa"/>
            <w:right w:w="0" w:type="dxa"/>
          </w:tblCellMar>
        </w:tblPrEx>
        <w:tc>
          <w:tcPr>
            <w:tcW w:w="600" w:type="dxa"/>
            <w:tcBorders>
              <w:top w:val="nil"/>
              <w:left w:val="nil"/>
              <w:bottom w:val="nil"/>
              <w:right w:val="nil"/>
            </w:tcBorders>
          </w:tcPr>
          <w:bookmarkStart w:id="177" w:name="co_footnote_B00892041287330_1"/>
          <w:bookmarkEnd w:id="177"/>
          <w:p w14:paraId="239EAB1A"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"#co_footnoteReference_B00892041287330_ID0" </w:instrText>
            </w:r>
            <w:r w:rsidR="00F61700">
              <w:rPr>
                <w:color w:val="000000"/>
              </w:rPr>
            </w:r>
            <w:r>
              <w:rPr>
                <w:color w:val="000000"/>
              </w:rPr>
              <w:fldChar w:fldCharType="separate"/>
            </w:r>
            <w:r>
              <w:rPr>
                <w:color w:val="000000"/>
                <w:vertAlign w:val="superscript"/>
              </w:rPr>
              <w:t>88</w:t>
            </w:r>
            <w:r>
              <w:rPr>
                <w:color w:val="000000"/>
              </w:rPr>
              <w:fldChar w:fldCharType="end"/>
            </w:r>
          </w:p>
          <w:p w14:paraId="1916DAC4"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1CD34E46" w14:textId="77777777" w:rsidR="00793DC4" w:rsidRDefault="00793DC4">
            <w:pPr>
              <w:widowControl w:val="0"/>
              <w:autoSpaceDE w:val="0"/>
              <w:autoSpaceDN w:val="0"/>
              <w:adjustRightInd w:val="0"/>
              <w:jc w:val="both"/>
              <w:rPr>
                <w:color w:val="000000"/>
                <w:sz w:val="18"/>
                <w:szCs w:val="18"/>
              </w:rPr>
            </w:pPr>
            <w:r>
              <w:rPr>
                <w:color w:val="000000"/>
                <w:sz w:val="18"/>
                <w:szCs w:val="18"/>
              </w:rPr>
              <w:t xml:space="preserve">If a manufacturer retains a warning that the FDA has rejected, the drug may be deemed “misbranded” in violation of federal law. </w:t>
            </w:r>
            <w:r>
              <w:rPr>
                <w:i/>
                <w:iCs/>
                <w:color w:val="000000"/>
                <w:sz w:val="18"/>
                <w:szCs w:val="18"/>
              </w:rPr>
              <w:t>See</w:t>
            </w:r>
            <w:r>
              <w:rPr>
                <w:color w:val="000000"/>
                <w:sz w:val="18"/>
                <w:szCs w:val="18"/>
              </w:rPr>
              <w:t xml:space="preserve"> </w:t>
            </w:r>
            <w:hyperlink r:id="rId244" w:history="1">
              <w:r>
                <w:rPr>
                  <w:color w:val="000000"/>
                  <w:sz w:val="18"/>
                  <w:szCs w:val="18"/>
                </w:rPr>
                <w:t>21 U.S.C. § 352(a)</w:t>
              </w:r>
            </w:hyperlink>
            <w:r>
              <w:rPr>
                <w:color w:val="000000"/>
                <w:sz w:val="18"/>
                <w:szCs w:val="18"/>
              </w:rPr>
              <w:t xml:space="preserve"> (drug shall be considered misbranded “[</w:t>
            </w:r>
            <w:proofErr w:type="spellStart"/>
            <w:proofErr w:type="gramStart"/>
            <w:r>
              <w:rPr>
                <w:color w:val="000000"/>
                <w:sz w:val="18"/>
                <w:szCs w:val="18"/>
              </w:rPr>
              <w:t>i</w:t>
            </w:r>
            <w:proofErr w:type="spellEnd"/>
            <w:r>
              <w:rPr>
                <w:color w:val="000000"/>
                <w:sz w:val="18"/>
                <w:szCs w:val="18"/>
              </w:rPr>
              <w:t>]f</w:t>
            </w:r>
            <w:proofErr w:type="gramEnd"/>
            <w:r>
              <w:rPr>
                <w:color w:val="000000"/>
                <w:sz w:val="18"/>
                <w:szCs w:val="18"/>
              </w:rPr>
              <w:t xml:space="preserve"> its labeling is false or misleading in any particular”); A 1501 (FDA letter rejecting Merck’s PAS proposal to amend the </w:t>
            </w:r>
            <w:hyperlink r:id="rId245" w:history="1">
              <w:r>
                <w:rPr>
                  <w:color w:val="000000"/>
                  <w:sz w:val="18"/>
                  <w:szCs w:val="18"/>
                </w:rPr>
                <w:t>Fosamax</w:t>
              </w:r>
            </w:hyperlink>
            <w:r>
              <w:rPr>
                <w:color w:val="000000"/>
                <w:sz w:val="18"/>
                <w:szCs w:val="18"/>
              </w:rPr>
              <w:t xml:space="preserve"> label and stating that “[t]</w:t>
            </w:r>
            <w:proofErr w:type="spellStart"/>
            <w:r>
              <w:rPr>
                <w:color w:val="000000"/>
                <w:sz w:val="18"/>
                <w:szCs w:val="18"/>
              </w:rPr>
              <w:t>hese</w:t>
            </w:r>
            <w:proofErr w:type="spellEnd"/>
            <w:r>
              <w:rPr>
                <w:color w:val="000000"/>
                <w:sz w:val="18"/>
                <w:szCs w:val="18"/>
              </w:rPr>
              <w:t xml:space="preserve"> products may be considered to be misbranded under the Federal Food, Drug, and Cosmetic Act if they are marketed with this change before approval of these supplemental applications”).</w:t>
            </w:r>
          </w:p>
          <w:p w14:paraId="716E8854" w14:textId="77777777" w:rsidR="00793DC4" w:rsidRDefault="00793DC4">
            <w:pPr>
              <w:widowControl w:val="0"/>
              <w:autoSpaceDE w:val="0"/>
              <w:autoSpaceDN w:val="0"/>
              <w:adjustRightInd w:val="0"/>
              <w:jc w:val="both"/>
              <w:rPr>
                <w:color w:val="000000"/>
                <w:sz w:val="18"/>
                <w:szCs w:val="18"/>
              </w:rPr>
            </w:pPr>
          </w:p>
        </w:tc>
      </w:tr>
    </w:tbl>
    <w:p w14:paraId="5D879D07" w14:textId="77777777" w:rsidR="00793DC4" w:rsidRDefault="00793DC4">
      <w:pPr>
        <w:widowControl w:val="0"/>
        <w:autoSpaceDE w:val="0"/>
        <w:autoSpaceDN w:val="0"/>
        <w:adjustRightInd w:val="0"/>
        <w:jc w:val="both"/>
        <w:rPr>
          <w:color w:val="000000"/>
        </w:rPr>
      </w:pPr>
    </w:p>
    <w:p w14:paraId="369FF1DB" w14:textId="77777777" w:rsidR="00793DC4" w:rsidRDefault="00793DC4">
      <w:pPr>
        <w:widowControl w:val="0"/>
        <w:autoSpaceDE w:val="0"/>
        <w:autoSpaceDN w:val="0"/>
        <w:adjustRightInd w:val="0"/>
        <w:jc w:val="both"/>
        <w:rPr>
          <w:color w:val="000000"/>
        </w:rPr>
      </w:pPr>
      <w:r>
        <w:rPr>
          <w:b/>
          <w:bCs/>
          <w:color w:val="000000"/>
        </w:rPr>
        <w:t>*284</w:t>
      </w:r>
      <w:r>
        <w:rPr>
          <w:color w:val="000000"/>
        </w:rPr>
        <w:t xml:space="preserve"> The manufacturer in </w:t>
      </w:r>
      <w:hyperlink r:id="rId246" w:history="1">
        <w:r>
          <w:rPr>
            <w:i/>
            <w:iCs/>
            <w:color w:val="000000"/>
          </w:rPr>
          <w:t>Wyeth</w:t>
        </w:r>
      </w:hyperlink>
      <w:r>
        <w:rPr>
          <w:color w:val="000000"/>
        </w:rPr>
        <w:t xml:space="preserve"> could not take advantage of the clear-evidence exception because it had “offered no such evidence” that the FDA would have rejected the warning sought by the plaintiff.</w:t>
      </w:r>
      <w:bookmarkStart w:id="178" w:name="co_footnoteReference_B00902041287330_ID0"/>
      <w:bookmarkEnd w:id="178"/>
      <w:r>
        <w:rPr>
          <w:color w:val="000000"/>
          <w:sz w:val="16"/>
          <w:szCs w:val="16"/>
        </w:rPr>
        <w:fldChar w:fldCharType="begin"/>
      </w:r>
      <w:r>
        <w:rPr>
          <w:color w:val="000000"/>
          <w:sz w:val="16"/>
          <w:szCs w:val="16"/>
        </w:rPr>
        <w:instrText xml:space="preserve">HYPERLINK "#co_footnote_B00902041287330_1" </w:instrText>
      </w:r>
      <w:r w:rsidR="00F61700">
        <w:rPr>
          <w:color w:val="000000"/>
          <w:sz w:val="16"/>
          <w:szCs w:val="16"/>
        </w:rPr>
      </w:r>
      <w:r>
        <w:rPr>
          <w:color w:val="000000"/>
          <w:sz w:val="16"/>
          <w:szCs w:val="16"/>
        </w:rPr>
        <w:fldChar w:fldCharType="separate"/>
      </w:r>
      <w:r>
        <w:rPr>
          <w:color w:val="000000"/>
          <w:sz w:val="16"/>
          <w:szCs w:val="16"/>
          <w:vertAlign w:val="superscript"/>
        </w:rPr>
        <w:t>89</w:t>
      </w:r>
      <w:r>
        <w:rPr>
          <w:color w:val="000000"/>
          <w:sz w:val="16"/>
          <w:szCs w:val="16"/>
        </w:rPr>
        <w:fldChar w:fldCharType="end"/>
      </w:r>
      <w:r>
        <w:rPr>
          <w:color w:val="000000"/>
        </w:rPr>
        <w:t xml:space="preserve"> But the Supreme Court made it clear that if a manufacturer does present “clear evidence” that the FDA would reject a plaintiff’s proposed warning, it would have a complete preemption defense to any state-law failure-to-warn claims.</w:t>
      </w:r>
    </w:p>
    <w:p w14:paraId="310E3002"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4787CDEA" w14:textId="77777777">
        <w:tblPrEx>
          <w:tblCellMar>
            <w:top w:w="0" w:type="dxa"/>
            <w:left w:w="0" w:type="dxa"/>
            <w:bottom w:w="0" w:type="dxa"/>
            <w:right w:w="0" w:type="dxa"/>
          </w:tblCellMar>
        </w:tblPrEx>
        <w:tc>
          <w:tcPr>
            <w:tcW w:w="600" w:type="dxa"/>
            <w:tcBorders>
              <w:top w:val="nil"/>
              <w:left w:val="nil"/>
              <w:bottom w:val="nil"/>
              <w:right w:val="nil"/>
            </w:tcBorders>
          </w:tcPr>
          <w:bookmarkStart w:id="179" w:name="co_footnote_B00902041287330_1"/>
          <w:bookmarkEnd w:id="179"/>
          <w:p w14:paraId="08548137"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"#co_footnoteReference_B00902041287330_ID0" </w:instrText>
            </w:r>
            <w:r w:rsidR="00F61700">
              <w:rPr>
                <w:color w:val="000000"/>
              </w:rPr>
            </w:r>
            <w:r>
              <w:rPr>
                <w:color w:val="000000"/>
              </w:rPr>
              <w:fldChar w:fldCharType="separate"/>
            </w:r>
            <w:r>
              <w:rPr>
                <w:color w:val="000000"/>
                <w:vertAlign w:val="superscript"/>
              </w:rPr>
              <w:t>89</w:t>
            </w:r>
            <w:r>
              <w:rPr>
                <w:color w:val="000000"/>
              </w:rPr>
              <w:fldChar w:fldCharType="end"/>
            </w:r>
          </w:p>
          <w:p w14:paraId="2CEDCF35"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3A32EEE2" w14:textId="77777777" w:rsidR="00793DC4" w:rsidRDefault="00793DC4">
            <w:pPr>
              <w:widowControl w:val="0"/>
              <w:autoSpaceDE w:val="0"/>
              <w:autoSpaceDN w:val="0"/>
              <w:adjustRightInd w:val="0"/>
              <w:jc w:val="both"/>
              <w:rPr>
                <w:color w:val="000000"/>
                <w:sz w:val="18"/>
                <w:szCs w:val="18"/>
              </w:rPr>
            </w:pPr>
            <w:hyperlink r:id="rId247" w:history="1">
              <w:r>
                <w:rPr>
                  <w:i/>
                  <w:iCs/>
                  <w:color w:val="000000"/>
                  <w:sz w:val="18"/>
                  <w:szCs w:val="18"/>
                </w:rPr>
                <w:t>Wyeth</w:t>
              </w:r>
              <w:r>
                <w:rPr>
                  <w:color w:val="000000"/>
                  <w:sz w:val="18"/>
                  <w:szCs w:val="18"/>
                </w:rPr>
                <w:t xml:space="preserve">, 555 U.S. at 571-72, 129 </w:t>
              </w:r>
              <w:proofErr w:type="spellStart"/>
              <w:r>
                <w:rPr>
                  <w:color w:val="000000"/>
                  <w:sz w:val="18"/>
                  <w:szCs w:val="18"/>
                </w:rPr>
                <w:t>S.Ct</w:t>
              </w:r>
              <w:proofErr w:type="spellEnd"/>
              <w:r>
                <w:rPr>
                  <w:color w:val="000000"/>
                  <w:sz w:val="18"/>
                  <w:szCs w:val="18"/>
                </w:rPr>
                <w:t>. 1187</w:t>
              </w:r>
            </w:hyperlink>
            <w:r>
              <w:rPr>
                <w:color w:val="000000"/>
                <w:sz w:val="18"/>
                <w:szCs w:val="18"/>
              </w:rPr>
              <w:t>.</w:t>
            </w:r>
          </w:p>
          <w:p w14:paraId="4F032AA5" w14:textId="77777777" w:rsidR="00793DC4" w:rsidRDefault="00793DC4">
            <w:pPr>
              <w:widowControl w:val="0"/>
              <w:autoSpaceDE w:val="0"/>
              <w:autoSpaceDN w:val="0"/>
              <w:adjustRightInd w:val="0"/>
              <w:jc w:val="both"/>
              <w:rPr>
                <w:color w:val="000000"/>
                <w:sz w:val="18"/>
                <w:szCs w:val="18"/>
              </w:rPr>
            </w:pPr>
          </w:p>
        </w:tc>
      </w:tr>
    </w:tbl>
    <w:p w14:paraId="3FF358E8" w14:textId="77777777" w:rsidR="00793DC4" w:rsidRDefault="00793DC4">
      <w:pPr>
        <w:widowControl w:val="0"/>
        <w:autoSpaceDE w:val="0"/>
        <w:autoSpaceDN w:val="0"/>
        <w:adjustRightInd w:val="0"/>
        <w:jc w:val="both"/>
        <w:rPr>
          <w:color w:val="000000"/>
        </w:rPr>
      </w:pPr>
    </w:p>
    <w:p w14:paraId="75A6A062" w14:textId="77777777" w:rsidR="00793DC4" w:rsidRDefault="00793DC4">
      <w:pPr>
        <w:widowControl w:val="0"/>
        <w:autoSpaceDE w:val="0"/>
        <w:autoSpaceDN w:val="0"/>
        <w:adjustRightInd w:val="0"/>
        <w:jc w:val="both"/>
        <w:rPr>
          <w:color w:val="000000"/>
        </w:rPr>
      </w:pPr>
      <w:r>
        <w:rPr>
          <w:color w:val="000000"/>
        </w:rPr>
        <w:t>In this case, Merck claims that the FDA’s 2009 rejection of its proposed label amendment is just such “clear evidence.”</w:t>
      </w:r>
    </w:p>
    <w:p w14:paraId="1463C338" w14:textId="77777777" w:rsidR="00793DC4" w:rsidRDefault="00793DC4">
      <w:pPr>
        <w:widowControl w:val="0"/>
        <w:autoSpaceDE w:val="0"/>
        <w:autoSpaceDN w:val="0"/>
        <w:adjustRightInd w:val="0"/>
        <w:jc w:val="both"/>
        <w:rPr>
          <w:color w:val="000000"/>
        </w:rPr>
      </w:pPr>
      <w:r>
        <w:rPr>
          <w:color w:val="000000"/>
        </w:rPr>
        <w:t> </w:t>
      </w:r>
    </w:p>
    <w:p w14:paraId="5244F94F" w14:textId="77777777" w:rsidR="00793DC4" w:rsidRDefault="00793DC4">
      <w:pPr>
        <w:widowControl w:val="0"/>
        <w:autoSpaceDE w:val="0"/>
        <w:autoSpaceDN w:val="0"/>
        <w:adjustRightInd w:val="0"/>
        <w:spacing w:before="400" w:after="200"/>
        <w:jc w:val="center"/>
        <w:rPr>
          <w:b/>
          <w:bCs/>
          <w:color w:val="000000"/>
        </w:rPr>
      </w:pPr>
      <w:r>
        <w:rPr>
          <w:b/>
          <w:bCs/>
          <w:color w:val="000000"/>
        </w:rPr>
        <w:t>B. Defining “Clear Evidence”</w:t>
      </w:r>
    </w:p>
    <w:p w14:paraId="3B1D2DDB" w14:textId="77777777" w:rsidR="00793DC4" w:rsidRDefault="00793DC4">
      <w:pPr>
        <w:widowControl w:val="0"/>
        <w:autoSpaceDE w:val="0"/>
        <w:autoSpaceDN w:val="0"/>
        <w:adjustRightInd w:val="0"/>
        <w:jc w:val="both"/>
        <w:rPr>
          <w:color w:val="000000"/>
          <w:sz w:val="16"/>
          <w:szCs w:val="16"/>
        </w:rPr>
      </w:pPr>
      <w:r>
        <w:rPr>
          <w:color w:val="000000"/>
        </w:rPr>
        <w:t xml:space="preserve">Courts applying the </w:t>
      </w:r>
      <w:hyperlink r:id="rId248" w:history="1">
        <w:r>
          <w:rPr>
            <w:i/>
            <w:iCs/>
            <w:color w:val="000000"/>
          </w:rPr>
          <w:t>Wyeth</w:t>
        </w:r>
      </w:hyperlink>
      <w:r>
        <w:rPr>
          <w:color w:val="000000"/>
        </w:rPr>
        <w:t xml:space="preserve"> preemption rule confront an immediate question: what is “clear evidence that the FDA would not have approved a change”? The </w:t>
      </w:r>
      <w:hyperlink r:id="rId249" w:history="1">
        <w:r>
          <w:rPr>
            <w:i/>
            <w:iCs/>
            <w:color w:val="000000"/>
          </w:rPr>
          <w:t>Wyeth</w:t>
        </w:r>
      </w:hyperlink>
      <w:r>
        <w:rPr>
          <w:color w:val="000000"/>
        </w:rPr>
        <w:t xml:space="preserve"> Court did not define the “clear evidence” standard or explain how courts should apply it. The only guidance the Court offered was to call impossibility preemption a “demanding defense.”</w:t>
      </w:r>
      <w:bookmarkStart w:id="180" w:name="co_footnoteReference_B00912041287330_ID0"/>
      <w:bookmarkEnd w:id="180"/>
      <w:r>
        <w:rPr>
          <w:color w:val="000000"/>
          <w:sz w:val="16"/>
          <w:szCs w:val="16"/>
        </w:rPr>
        <w:fldChar w:fldCharType="begin"/>
      </w:r>
      <w:r>
        <w:rPr>
          <w:color w:val="000000"/>
          <w:sz w:val="16"/>
          <w:szCs w:val="16"/>
        </w:rPr>
        <w:instrText xml:space="preserve">HYPERLINK "#co_footnote_B00912041287330_1" </w:instrText>
      </w:r>
      <w:r w:rsidR="00F61700">
        <w:rPr>
          <w:color w:val="000000"/>
          <w:sz w:val="16"/>
          <w:szCs w:val="16"/>
        </w:rPr>
      </w:r>
      <w:r>
        <w:rPr>
          <w:color w:val="000000"/>
          <w:sz w:val="16"/>
          <w:szCs w:val="16"/>
        </w:rPr>
        <w:fldChar w:fldCharType="separate"/>
      </w:r>
      <w:r>
        <w:rPr>
          <w:color w:val="000000"/>
          <w:sz w:val="16"/>
          <w:szCs w:val="16"/>
          <w:vertAlign w:val="superscript"/>
        </w:rPr>
        <w:t>90</w:t>
      </w:r>
      <w:r>
        <w:rPr>
          <w:color w:val="000000"/>
          <w:sz w:val="16"/>
          <w:szCs w:val="16"/>
        </w:rPr>
        <w:fldChar w:fldCharType="end"/>
      </w:r>
      <w:r>
        <w:rPr>
          <w:color w:val="000000"/>
        </w:rPr>
        <w:t xml:space="preserve"> In the absence of explicit direction or a coherent doctrinal framework, lower courts have been understandably reluctant to articulate firm definitions of the standard or its requirements. For example, several of our sister circuits have decided preemption cases by simply treating the facts of </w:t>
      </w:r>
      <w:hyperlink r:id="rId250" w:history="1">
        <w:r>
          <w:rPr>
            <w:i/>
            <w:iCs/>
            <w:color w:val="000000"/>
          </w:rPr>
          <w:t>Wyeth</w:t>
        </w:r>
      </w:hyperlink>
      <w:r>
        <w:rPr>
          <w:color w:val="000000"/>
        </w:rPr>
        <w:t xml:space="preserve"> as a yardstick: if the evidence for FDA rejection in a given case is less compelling than the manufacturer’s evidence in </w:t>
      </w:r>
      <w:hyperlink r:id="rId251" w:history="1">
        <w:r>
          <w:rPr>
            <w:i/>
            <w:iCs/>
            <w:color w:val="000000"/>
          </w:rPr>
          <w:t>Wyeth</w:t>
        </w:r>
      </w:hyperlink>
      <w:r>
        <w:rPr>
          <w:color w:val="000000"/>
        </w:rPr>
        <w:t>, the thinking goes, then there is clear evidence that the FDA would not have approved a label change and the manufacturer’s preemption defense fails.</w:t>
      </w:r>
      <w:bookmarkStart w:id="181" w:name="co_footnoteReference_B00922041287330_ID0"/>
      <w:bookmarkEnd w:id="181"/>
      <w:r>
        <w:rPr>
          <w:color w:val="000000"/>
          <w:sz w:val="16"/>
          <w:szCs w:val="16"/>
        </w:rPr>
        <w:fldChar w:fldCharType="begin"/>
      </w:r>
      <w:r>
        <w:rPr>
          <w:color w:val="000000"/>
          <w:sz w:val="16"/>
          <w:szCs w:val="16"/>
        </w:rPr>
        <w:instrText xml:space="preserve">HYPERLINK "#co_footnote_B00922041287330_1" </w:instrText>
      </w:r>
      <w:r w:rsidR="00F61700">
        <w:rPr>
          <w:color w:val="000000"/>
          <w:sz w:val="16"/>
          <w:szCs w:val="16"/>
        </w:rPr>
      </w:r>
      <w:r>
        <w:rPr>
          <w:color w:val="000000"/>
          <w:sz w:val="16"/>
          <w:szCs w:val="16"/>
        </w:rPr>
        <w:fldChar w:fldCharType="separate"/>
      </w:r>
      <w:r>
        <w:rPr>
          <w:color w:val="000000"/>
          <w:sz w:val="16"/>
          <w:szCs w:val="16"/>
          <w:vertAlign w:val="superscript"/>
        </w:rPr>
        <w:t>91</w:t>
      </w:r>
      <w:r>
        <w:rPr>
          <w:color w:val="000000"/>
          <w:sz w:val="16"/>
          <w:szCs w:val="16"/>
        </w:rPr>
        <w:fldChar w:fldCharType="end"/>
      </w:r>
      <w:r>
        <w:rPr>
          <w:color w:val="000000"/>
        </w:rPr>
        <w:t xml:space="preserve"> Many district courts have adopted a similar, if more complex, approach of exhaustively surveying the post-</w:t>
      </w:r>
      <w:hyperlink r:id="rId252" w:history="1">
        <w:r>
          <w:rPr>
            <w:i/>
            <w:iCs/>
            <w:color w:val="000000"/>
          </w:rPr>
          <w:t>Wyeth</w:t>
        </w:r>
      </w:hyperlink>
      <w:r>
        <w:rPr>
          <w:color w:val="000000"/>
        </w:rPr>
        <w:t xml:space="preserve"> case law and then testing the facts of a particular case against prior decisions.</w:t>
      </w:r>
      <w:bookmarkStart w:id="182" w:name="co_footnoteReference_B00932041287330_ID0"/>
      <w:bookmarkEnd w:id="182"/>
      <w:r>
        <w:rPr>
          <w:color w:val="000000"/>
          <w:sz w:val="16"/>
          <w:szCs w:val="16"/>
        </w:rPr>
        <w:fldChar w:fldCharType="begin"/>
      </w:r>
      <w:r>
        <w:rPr>
          <w:color w:val="000000"/>
          <w:sz w:val="16"/>
          <w:szCs w:val="16"/>
        </w:rPr>
        <w:instrText xml:space="preserve">HYPERLINK "#co_footnote_B00932041287330_1" </w:instrText>
      </w:r>
      <w:r w:rsidR="00F61700">
        <w:rPr>
          <w:color w:val="000000"/>
          <w:sz w:val="16"/>
          <w:szCs w:val="16"/>
        </w:rPr>
      </w:r>
      <w:r>
        <w:rPr>
          <w:color w:val="000000"/>
          <w:sz w:val="16"/>
          <w:szCs w:val="16"/>
        </w:rPr>
        <w:fldChar w:fldCharType="separate"/>
      </w:r>
      <w:r>
        <w:rPr>
          <w:color w:val="000000"/>
          <w:sz w:val="16"/>
          <w:szCs w:val="16"/>
          <w:vertAlign w:val="superscript"/>
        </w:rPr>
        <w:t>92</w:t>
      </w:r>
      <w:r>
        <w:rPr>
          <w:color w:val="000000"/>
          <w:sz w:val="16"/>
          <w:szCs w:val="16"/>
        </w:rPr>
        <w:fldChar w:fldCharType="end"/>
      </w:r>
      <w:r>
        <w:rPr>
          <w:color w:val="000000"/>
        </w:rPr>
        <w:t xml:space="preserve"> Both approaches produce valid outcomes in individual cases, but neither clarifies or builds out the doctrine. The result is an anomaly in our preemption jurisprudence: the number of cases applying the clear evidence standard continues to </w:t>
      </w:r>
      <w:proofErr w:type="gramStart"/>
      <w:r>
        <w:rPr>
          <w:color w:val="000000"/>
        </w:rPr>
        <w:t>grow,</w:t>
      </w:r>
      <w:proofErr w:type="gramEnd"/>
      <w:r>
        <w:rPr>
          <w:color w:val="000000"/>
        </w:rPr>
        <w:t xml:space="preserve"> yet “the clear evidence standard remains undefined.”</w:t>
      </w:r>
      <w:bookmarkStart w:id="183" w:name="co_footnoteReference_B00942041287330_ID0"/>
      <w:bookmarkEnd w:id="183"/>
      <w:r>
        <w:rPr>
          <w:color w:val="000000"/>
          <w:sz w:val="16"/>
          <w:szCs w:val="16"/>
        </w:rPr>
        <w:fldChar w:fldCharType="begin"/>
      </w:r>
      <w:r>
        <w:rPr>
          <w:color w:val="000000"/>
          <w:sz w:val="16"/>
          <w:szCs w:val="16"/>
        </w:rPr>
        <w:instrText xml:space="preserve">HYPERLINK "#co_footnote_B00942041287330_1" </w:instrText>
      </w:r>
      <w:r w:rsidR="00F61700">
        <w:rPr>
          <w:color w:val="000000"/>
          <w:sz w:val="16"/>
          <w:szCs w:val="16"/>
        </w:rPr>
      </w:r>
      <w:r>
        <w:rPr>
          <w:color w:val="000000"/>
          <w:sz w:val="16"/>
          <w:szCs w:val="16"/>
        </w:rPr>
        <w:fldChar w:fldCharType="separate"/>
      </w:r>
      <w:r>
        <w:rPr>
          <w:color w:val="000000"/>
          <w:sz w:val="16"/>
          <w:szCs w:val="16"/>
          <w:vertAlign w:val="superscript"/>
        </w:rPr>
        <w:t>93</w:t>
      </w:r>
      <w:r>
        <w:rPr>
          <w:color w:val="000000"/>
          <w:sz w:val="16"/>
          <w:szCs w:val="16"/>
        </w:rPr>
        <w:fldChar w:fldCharType="end"/>
      </w:r>
    </w:p>
    <w:p w14:paraId="69750273"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76DD23DD" w14:textId="77777777">
        <w:tblPrEx>
          <w:tblCellMar>
            <w:top w:w="0" w:type="dxa"/>
            <w:left w:w="0" w:type="dxa"/>
            <w:bottom w:w="0" w:type="dxa"/>
            <w:right w:w="0" w:type="dxa"/>
          </w:tblCellMar>
        </w:tblPrEx>
        <w:tc>
          <w:tcPr>
            <w:tcW w:w="600" w:type="dxa"/>
            <w:tcBorders>
              <w:top w:val="nil"/>
              <w:left w:val="nil"/>
              <w:bottom w:val="nil"/>
              <w:right w:val="nil"/>
            </w:tcBorders>
          </w:tcPr>
          <w:bookmarkStart w:id="184" w:name="co_footnote_B00912041287330_1"/>
          <w:bookmarkEnd w:id="184"/>
          <w:p w14:paraId="48EBD217"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"#co_footnoteReference_B00912041287330_ID0" </w:instrText>
            </w:r>
            <w:r w:rsidR="00F61700">
              <w:rPr>
                <w:color w:val="000000"/>
              </w:rPr>
            </w:r>
            <w:r>
              <w:rPr>
                <w:color w:val="000000"/>
              </w:rPr>
              <w:fldChar w:fldCharType="separate"/>
            </w:r>
            <w:r>
              <w:rPr>
                <w:color w:val="000000"/>
                <w:vertAlign w:val="superscript"/>
              </w:rPr>
              <w:t>90</w:t>
            </w:r>
            <w:r>
              <w:rPr>
                <w:color w:val="000000"/>
              </w:rPr>
              <w:fldChar w:fldCharType="end"/>
            </w:r>
          </w:p>
          <w:p w14:paraId="19E78DCE"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6337DC52" w14:textId="77777777" w:rsidR="00793DC4" w:rsidRDefault="00793DC4">
            <w:pPr>
              <w:widowControl w:val="0"/>
              <w:autoSpaceDE w:val="0"/>
              <w:autoSpaceDN w:val="0"/>
              <w:adjustRightInd w:val="0"/>
              <w:jc w:val="both"/>
              <w:rPr>
                <w:color w:val="000000"/>
                <w:sz w:val="18"/>
                <w:szCs w:val="18"/>
              </w:rPr>
            </w:pPr>
            <w:hyperlink r:id="rId253" w:history="1">
              <w:r>
                <w:rPr>
                  <w:i/>
                  <w:iCs/>
                  <w:color w:val="000000"/>
                  <w:sz w:val="18"/>
                  <w:szCs w:val="18"/>
                </w:rPr>
                <w:t>Id.</w:t>
              </w:r>
              <w:r>
                <w:rPr>
                  <w:color w:val="000000"/>
                  <w:sz w:val="18"/>
                  <w:szCs w:val="18"/>
                </w:rPr>
                <w:t xml:space="preserve"> at 573, 129 </w:t>
              </w:r>
              <w:proofErr w:type="spellStart"/>
              <w:r>
                <w:rPr>
                  <w:color w:val="000000"/>
                  <w:sz w:val="18"/>
                  <w:szCs w:val="18"/>
                </w:rPr>
                <w:t>S.Ct</w:t>
              </w:r>
              <w:proofErr w:type="spellEnd"/>
              <w:r>
                <w:rPr>
                  <w:color w:val="000000"/>
                  <w:sz w:val="18"/>
                  <w:szCs w:val="18"/>
                </w:rPr>
                <w:t>. 1187</w:t>
              </w:r>
            </w:hyperlink>
            <w:r>
              <w:rPr>
                <w:color w:val="000000"/>
                <w:sz w:val="18"/>
                <w:szCs w:val="18"/>
              </w:rPr>
              <w:t>.</w:t>
            </w:r>
          </w:p>
          <w:p w14:paraId="710C1060" w14:textId="77777777" w:rsidR="00793DC4" w:rsidRDefault="00793DC4">
            <w:pPr>
              <w:widowControl w:val="0"/>
              <w:autoSpaceDE w:val="0"/>
              <w:autoSpaceDN w:val="0"/>
              <w:adjustRightInd w:val="0"/>
              <w:jc w:val="both"/>
              <w:rPr>
                <w:color w:val="000000"/>
                <w:sz w:val="18"/>
                <w:szCs w:val="18"/>
              </w:rPr>
            </w:pPr>
          </w:p>
        </w:tc>
      </w:tr>
    </w:tbl>
    <w:p w14:paraId="1CB5D231"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677DBD36" w14:textId="77777777">
        <w:tblPrEx>
          <w:tblCellMar>
            <w:top w:w="0" w:type="dxa"/>
            <w:left w:w="0" w:type="dxa"/>
            <w:bottom w:w="0" w:type="dxa"/>
            <w:right w:w="0" w:type="dxa"/>
          </w:tblCellMar>
        </w:tblPrEx>
        <w:tc>
          <w:tcPr>
            <w:tcW w:w="600" w:type="dxa"/>
            <w:tcBorders>
              <w:top w:val="nil"/>
              <w:left w:val="nil"/>
              <w:bottom w:val="nil"/>
              <w:right w:val="nil"/>
            </w:tcBorders>
          </w:tcPr>
          <w:bookmarkStart w:id="185" w:name="co_footnote_B00922041287330_1"/>
          <w:bookmarkEnd w:id="185"/>
          <w:p w14:paraId="064D73DA"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"#co_footnoteReference_B00922041287330_ID0" </w:instrText>
            </w:r>
            <w:r w:rsidR="00F61700">
              <w:rPr>
                <w:color w:val="000000"/>
              </w:rPr>
            </w:r>
            <w:r>
              <w:rPr>
                <w:color w:val="000000"/>
              </w:rPr>
              <w:fldChar w:fldCharType="separate"/>
            </w:r>
            <w:r>
              <w:rPr>
                <w:color w:val="000000"/>
                <w:vertAlign w:val="superscript"/>
              </w:rPr>
              <w:t>91</w:t>
            </w:r>
            <w:r>
              <w:rPr>
                <w:color w:val="000000"/>
              </w:rPr>
              <w:fldChar w:fldCharType="end"/>
            </w:r>
          </w:p>
          <w:p w14:paraId="646221B3"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23B3B003" w14:textId="77777777" w:rsidR="00793DC4" w:rsidRDefault="00793DC4">
            <w:pPr>
              <w:widowControl w:val="0"/>
              <w:autoSpaceDE w:val="0"/>
              <w:autoSpaceDN w:val="0"/>
              <w:adjustRightInd w:val="0"/>
              <w:jc w:val="both"/>
              <w:rPr>
                <w:color w:val="000000"/>
                <w:sz w:val="18"/>
                <w:szCs w:val="18"/>
              </w:rPr>
            </w:pPr>
            <w:r>
              <w:rPr>
                <w:i/>
                <w:iCs/>
                <w:color w:val="000000"/>
                <w:sz w:val="18"/>
                <w:szCs w:val="18"/>
              </w:rPr>
              <w:t xml:space="preserve">See </w:t>
            </w:r>
            <w:hyperlink r:id="rId254" w:history="1">
              <w:r>
                <w:rPr>
                  <w:i/>
                  <w:iCs/>
                  <w:color w:val="000000"/>
                  <w:sz w:val="18"/>
                  <w:szCs w:val="18"/>
                </w:rPr>
                <w:t>Mason v. SmithKline Beecham Corp</w:t>
              </w:r>
              <w:r>
                <w:rPr>
                  <w:color w:val="000000"/>
                  <w:sz w:val="18"/>
                  <w:szCs w:val="18"/>
                </w:rPr>
                <w:t>., 596 F.3d 387, 392-96 (7th Cir. 2010)</w:t>
              </w:r>
            </w:hyperlink>
            <w:r>
              <w:rPr>
                <w:color w:val="000000"/>
                <w:sz w:val="18"/>
                <w:szCs w:val="18"/>
              </w:rPr>
              <w:t xml:space="preserve"> (stating that </w:t>
            </w:r>
            <w:hyperlink r:id="rId255" w:history="1">
              <w:r>
                <w:rPr>
                  <w:i/>
                  <w:iCs/>
                  <w:color w:val="000000"/>
                  <w:sz w:val="18"/>
                  <w:szCs w:val="18"/>
                </w:rPr>
                <w:t>Wyeth</w:t>
              </w:r>
            </w:hyperlink>
            <w:r>
              <w:rPr>
                <w:color w:val="000000"/>
                <w:sz w:val="18"/>
                <w:szCs w:val="18"/>
              </w:rPr>
              <w:t xml:space="preserve"> provides an “intellectual anchor” because “if the evidence here is less compelling than it was in [</w:t>
            </w:r>
            <w:hyperlink r:id="rId256" w:history="1">
              <w:r>
                <w:rPr>
                  <w:i/>
                  <w:iCs/>
                  <w:color w:val="000000"/>
                  <w:sz w:val="18"/>
                  <w:szCs w:val="18"/>
                </w:rPr>
                <w:t>Wyeth</w:t>
              </w:r>
            </w:hyperlink>
            <w:r>
              <w:rPr>
                <w:color w:val="000000"/>
                <w:sz w:val="18"/>
                <w:szCs w:val="18"/>
              </w:rPr>
              <w:t xml:space="preserve">], we will not find preemption,” and holding that preemption was unwarranted because the manufacturer’s evidence was not “any more compelling”); </w:t>
            </w:r>
            <w:hyperlink r:id="rId257" w:history="1">
              <w:r>
                <w:rPr>
                  <w:i/>
                  <w:iCs/>
                  <w:color w:val="000000"/>
                  <w:sz w:val="18"/>
                  <w:szCs w:val="18"/>
                </w:rPr>
                <w:t xml:space="preserve">Gaeta v. </w:t>
              </w:r>
              <w:proofErr w:type="spellStart"/>
              <w:r>
                <w:rPr>
                  <w:i/>
                  <w:iCs/>
                  <w:color w:val="000000"/>
                  <w:sz w:val="18"/>
                  <w:szCs w:val="18"/>
                </w:rPr>
                <w:t>Perrigo</w:t>
              </w:r>
              <w:proofErr w:type="spellEnd"/>
              <w:r>
                <w:rPr>
                  <w:i/>
                  <w:iCs/>
                  <w:color w:val="000000"/>
                  <w:sz w:val="18"/>
                  <w:szCs w:val="18"/>
                </w:rPr>
                <w:t xml:space="preserve"> Pharms. Co</w:t>
              </w:r>
              <w:r>
                <w:rPr>
                  <w:color w:val="000000"/>
                  <w:sz w:val="18"/>
                  <w:szCs w:val="18"/>
                </w:rPr>
                <w:t>., 630 F.3d 1225, 1235-37 (9th Cir. 2011)</w:t>
              </w:r>
            </w:hyperlink>
            <w:r>
              <w:rPr>
                <w:color w:val="000000"/>
                <w:sz w:val="18"/>
                <w:szCs w:val="18"/>
              </w:rPr>
              <w:t xml:space="preserve"> (observing that “the only guidance this court has is that the evidence presented in [</w:t>
            </w:r>
            <w:hyperlink r:id="rId258" w:history="1">
              <w:r>
                <w:rPr>
                  <w:i/>
                  <w:iCs/>
                  <w:color w:val="000000"/>
                  <w:sz w:val="18"/>
                  <w:szCs w:val="18"/>
                </w:rPr>
                <w:t>Wyeth</w:t>
              </w:r>
            </w:hyperlink>
            <w:r>
              <w:rPr>
                <w:color w:val="000000"/>
                <w:sz w:val="18"/>
                <w:szCs w:val="18"/>
              </w:rPr>
              <w:t>] was insufficient to meet the clear evidence standard” and holding that preemption was unwarranted “[b]</w:t>
            </w:r>
            <w:proofErr w:type="spellStart"/>
            <w:r>
              <w:rPr>
                <w:color w:val="000000"/>
                <w:sz w:val="18"/>
                <w:szCs w:val="18"/>
              </w:rPr>
              <w:t>ecause</w:t>
            </w:r>
            <w:proofErr w:type="spellEnd"/>
            <w:r>
              <w:rPr>
                <w:color w:val="000000"/>
                <w:sz w:val="18"/>
                <w:szCs w:val="18"/>
              </w:rPr>
              <w:t xml:space="preserve"> the evidence presented by </w:t>
            </w:r>
            <w:proofErr w:type="spellStart"/>
            <w:r>
              <w:rPr>
                <w:color w:val="000000"/>
                <w:sz w:val="18"/>
                <w:szCs w:val="18"/>
              </w:rPr>
              <w:t>Perrigo</w:t>
            </w:r>
            <w:proofErr w:type="spellEnd"/>
            <w:r>
              <w:rPr>
                <w:color w:val="000000"/>
                <w:sz w:val="18"/>
                <w:szCs w:val="18"/>
              </w:rPr>
              <w:t xml:space="preserve"> in this case is no more compelling than the evidence considered and rejected by the Supreme Court in [</w:t>
            </w:r>
            <w:hyperlink r:id="rId259" w:history="1">
              <w:r>
                <w:rPr>
                  <w:i/>
                  <w:iCs/>
                  <w:color w:val="000000"/>
                  <w:sz w:val="18"/>
                  <w:szCs w:val="18"/>
                </w:rPr>
                <w:t>Wyeth</w:t>
              </w:r>
            </w:hyperlink>
            <w:r>
              <w:rPr>
                <w:color w:val="000000"/>
                <w:sz w:val="18"/>
                <w:szCs w:val="18"/>
              </w:rPr>
              <w:t xml:space="preserve">]” (abrogated on other grounds, </w:t>
            </w:r>
            <w:hyperlink r:id="rId260" w:history="1">
              <w:r>
                <w:rPr>
                  <w:i/>
                  <w:iCs/>
                  <w:color w:val="000000"/>
                  <w:sz w:val="18"/>
                  <w:szCs w:val="18"/>
                </w:rPr>
                <w:t>PLIVA</w:t>
              </w:r>
              <w:r>
                <w:rPr>
                  <w:color w:val="000000"/>
                  <w:sz w:val="18"/>
                  <w:szCs w:val="18"/>
                </w:rPr>
                <w:t xml:space="preserve">, 564 U.S. 604, 131 </w:t>
              </w:r>
              <w:proofErr w:type="spellStart"/>
              <w:r>
                <w:rPr>
                  <w:color w:val="000000"/>
                  <w:sz w:val="18"/>
                  <w:szCs w:val="18"/>
                </w:rPr>
                <w:t>S.Ct</w:t>
              </w:r>
              <w:proofErr w:type="spellEnd"/>
              <w:r>
                <w:rPr>
                  <w:color w:val="000000"/>
                  <w:sz w:val="18"/>
                  <w:szCs w:val="18"/>
                </w:rPr>
                <w:t>. 2567</w:t>
              </w:r>
            </w:hyperlink>
            <w:r>
              <w:rPr>
                <w:color w:val="000000"/>
                <w:sz w:val="18"/>
                <w:szCs w:val="18"/>
              </w:rPr>
              <w:t>)).</w:t>
            </w:r>
          </w:p>
          <w:p w14:paraId="3F7430B7" w14:textId="77777777" w:rsidR="00793DC4" w:rsidRDefault="00793DC4">
            <w:pPr>
              <w:widowControl w:val="0"/>
              <w:autoSpaceDE w:val="0"/>
              <w:autoSpaceDN w:val="0"/>
              <w:adjustRightInd w:val="0"/>
              <w:jc w:val="both"/>
              <w:rPr>
                <w:color w:val="000000"/>
                <w:sz w:val="18"/>
                <w:szCs w:val="18"/>
              </w:rPr>
            </w:pPr>
          </w:p>
        </w:tc>
      </w:tr>
    </w:tbl>
    <w:p w14:paraId="5DD0AD90"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374B8477" w14:textId="77777777">
        <w:tblPrEx>
          <w:tblCellMar>
            <w:top w:w="0" w:type="dxa"/>
            <w:left w:w="0" w:type="dxa"/>
            <w:bottom w:w="0" w:type="dxa"/>
            <w:right w:w="0" w:type="dxa"/>
          </w:tblCellMar>
        </w:tblPrEx>
        <w:tc>
          <w:tcPr>
            <w:tcW w:w="600" w:type="dxa"/>
            <w:tcBorders>
              <w:top w:val="nil"/>
              <w:left w:val="nil"/>
              <w:bottom w:val="nil"/>
              <w:right w:val="nil"/>
            </w:tcBorders>
          </w:tcPr>
          <w:bookmarkStart w:id="186" w:name="co_footnote_B00932041287330_1"/>
          <w:bookmarkEnd w:id="186"/>
          <w:p w14:paraId="299F4B33"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"#co_footnoteReference_B00932041287330_ID0" </w:instrText>
            </w:r>
            <w:r w:rsidR="00F61700">
              <w:rPr>
                <w:color w:val="000000"/>
              </w:rPr>
            </w:r>
            <w:r>
              <w:rPr>
                <w:color w:val="000000"/>
              </w:rPr>
              <w:fldChar w:fldCharType="separate"/>
            </w:r>
            <w:r>
              <w:rPr>
                <w:color w:val="000000"/>
                <w:vertAlign w:val="superscript"/>
              </w:rPr>
              <w:t>92</w:t>
            </w:r>
            <w:r>
              <w:rPr>
                <w:color w:val="000000"/>
              </w:rPr>
              <w:fldChar w:fldCharType="end"/>
            </w:r>
          </w:p>
          <w:p w14:paraId="5F14ADDB"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375E8B97" w14:textId="77777777" w:rsidR="00793DC4" w:rsidRDefault="00793DC4">
            <w:pPr>
              <w:widowControl w:val="0"/>
              <w:autoSpaceDE w:val="0"/>
              <w:autoSpaceDN w:val="0"/>
              <w:adjustRightInd w:val="0"/>
              <w:jc w:val="both"/>
              <w:rPr>
                <w:color w:val="000000"/>
                <w:sz w:val="18"/>
                <w:szCs w:val="18"/>
              </w:rPr>
            </w:pPr>
            <w:r>
              <w:rPr>
                <w:i/>
                <w:iCs/>
                <w:color w:val="000000"/>
                <w:sz w:val="18"/>
                <w:szCs w:val="18"/>
              </w:rPr>
              <w:t>See</w:t>
            </w:r>
            <w:r>
              <w:rPr>
                <w:color w:val="000000"/>
                <w:sz w:val="18"/>
                <w:szCs w:val="18"/>
              </w:rPr>
              <w:t xml:space="preserve">, </w:t>
            </w:r>
            <w:r>
              <w:rPr>
                <w:i/>
                <w:iCs/>
                <w:color w:val="000000"/>
                <w:sz w:val="18"/>
                <w:szCs w:val="18"/>
              </w:rPr>
              <w:t>e.g.</w:t>
            </w:r>
            <w:r>
              <w:rPr>
                <w:color w:val="000000"/>
                <w:sz w:val="18"/>
                <w:szCs w:val="18"/>
              </w:rPr>
              <w:t xml:space="preserve">, </w:t>
            </w:r>
            <w:hyperlink r:id="rId261" w:history="1">
              <w:r>
                <w:rPr>
                  <w:i/>
                  <w:iCs/>
                  <w:color w:val="000000"/>
                  <w:sz w:val="18"/>
                  <w:szCs w:val="18"/>
                </w:rPr>
                <w:t xml:space="preserve">In re </w:t>
              </w:r>
              <w:proofErr w:type="spellStart"/>
              <w:r>
                <w:rPr>
                  <w:i/>
                  <w:iCs/>
                  <w:color w:val="000000"/>
                  <w:sz w:val="18"/>
                  <w:szCs w:val="18"/>
                </w:rPr>
                <w:t>Incretin</w:t>
              </w:r>
              <w:proofErr w:type="spellEnd"/>
              <w:r>
                <w:rPr>
                  <w:i/>
                  <w:iCs/>
                  <w:color w:val="000000"/>
                  <w:sz w:val="18"/>
                  <w:szCs w:val="18"/>
                </w:rPr>
                <w:t xml:space="preserve">-Based Therapies Prods. </w:t>
              </w:r>
              <w:proofErr w:type="spellStart"/>
              <w:r>
                <w:rPr>
                  <w:i/>
                  <w:iCs/>
                  <w:color w:val="000000"/>
                  <w:sz w:val="18"/>
                  <w:szCs w:val="18"/>
                </w:rPr>
                <w:t>Liab</w:t>
              </w:r>
              <w:proofErr w:type="spellEnd"/>
              <w:r>
                <w:rPr>
                  <w:i/>
                  <w:iCs/>
                  <w:color w:val="000000"/>
                  <w:sz w:val="18"/>
                  <w:szCs w:val="18"/>
                </w:rPr>
                <w:t xml:space="preserve">. </w:t>
              </w:r>
              <w:proofErr w:type="spellStart"/>
              <w:r>
                <w:rPr>
                  <w:i/>
                  <w:iCs/>
                  <w:color w:val="000000"/>
                  <w:sz w:val="18"/>
                  <w:szCs w:val="18"/>
                </w:rPr>
                <w:t>Litig</w:t>
              </w:r>
              <w:proofErr w:type="spellEnd"/>
              <w:proofErr w:type="gramStart"/>
              <w:r>
                <w:rPr>
                  <w:color w:val="000000"/>
                  <w:sz w:val="18"/>
                  <w:szCs w:val="18"/>
                </w:rPr>
                <w:t>.,</w:t>
              </w:r>
              <w:proofErr w:type="gramEnd"/>
              <w:r>
                <w:rPr>
                  <w:color w:val="000000"/>
                  <w:sz w:val="18"/>
                  <w:szCs w:val="18"/>
                </w:rPr>
                <w:t xml:space="preserve"> 142 F.Supp.3d 1108 (S.D. Cal. 2015)</w:t>
              </w:r>
            </w:hyperlink>
            <w:r>
              <w:rPr>
                <w:color w:val="000000"/>
                <w:sz w:val="18"/>
                <w:szCs w:val="18"/>
              </w:rPr>
              <w:t xml:space="preserve">; </w:t>
            </w:r>
            <w:hyperlink r:id="rId262" w:history="1">
              <w:proofErr w:type="spellStart"/>
              <w:r>
                <w:rPr>
                  <w:i/>
                  <w:iCs/>
                  <w:color w:val="000000"/>
                  <w:sz w:val="18"/>
                  <w:szCs w:val="18"/>
                </w:rPr>
                <w:t>Seufert</w:t>
              </w:r>
              <w:proofErr w:type="spellEnd"/>
              <w:r>
                <w:rPr>
                  <w:i/>
                  <w:iCs/>
                  <w:color w:val="000000"/>
                  <w:sz w:val="18"/>
                  <w:szCs w:val="18"/>
                </w:rPr>
                <w:t xml:space="preserve"> v. Merck Sharp &amp; </w:t>
              </w:r>
              <w:proofErr w:type="spellStart"/>
              <w:r>
                <w:rPr>
                  <w:i/>
                  <w:iCs/>
                  <w:color w:val="000000"/>
                  <w:sz w:val="18"/>
                  <w:szCs w:val="18"/>
                </w:rPr>
                <w:t>Dohme</w:t>
              </w:r>
              <w:proofErr w:type="spellEnd"/>
              <w:r>
                <w:rPr>
                  <w:i/>
                  <w:iCs/>
                  <w:color w:val="000000"/>
                  <w:sz w:val="18"/>
                  <w:szCs w:val="18"/>
                </w:rPr>
                <w:t xml:space="preserve"> Corp</w:t>
              </w:r>
              <w:r>
                <w:rPr>
                  <w:color w:val="000000"/>
                  <w:sz w:val="18"/>
                  <w:szCs w:val="18"/>
                </w:rPr>
                <w:t>., 187 F.Supp.3d 1163 (S.D. Cal. 2016)</w:t>
              </w:r>
            </w:hyperlink>
            <w:r>
              <w:rPr>
                <w:color w:val="000000"/>
                <w:sz w:val="18"/>
                <w:szCs w:val="18"/>
              </w:rPr>
              <w:t>.</w:t>
            </w:r>
          </w:p>
          <w:p w14:paraId="411E0250" w14:textId="77777777" w:rsidR="00793DC4" w:rsidRDefault="00793DC4">
            <w:pPr>
              <w:widowControl w:val="0"/>
              <w:autoSpaceDE w:val="0"/>
              <w:autoSpaceDN w:val="0"/>
              <w:adjustRightInd w:val="0"/>
              <w:jc w:val="both"/>
              <w:rPr>
                <w:color w:val="000000"/>
                <w:sz w:val="18"/>
                <w:szCs w:val="18"/>
              </w:rPr>
            </w:pPr>
          </w:p>
        </w:tc>
      </w:tr>
    </w:tbl>
    <w:p w14:paraId="6725950E"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047E452B" w14:textId="77777777">
        <w:tblPrEx>
          <w:tblCellMar>
            <w:top w:w="0" w:type="dxa"/>
            <w:left w:w="0" w:type="dxa"/>
            <w:bottom w:w="0" w:type="dxa"/>
            <w:right w:w="0" w:type="dxa"/>
          </w:tblCellMar>
        </w:tblPrEx>
        <w:tc>
          <w:tcPr>
            <w:tcW w:w="600" w:type="dxa"/>
            <w:tcBorders>
              <w:top w:val="nil"/>
              <w:left w:val="nil"/>
              <w:bottom w:val="nil"/>
              <w:right w:val="nil"/>
            </w:tcBorders>
          </w:tcPr>
          <w:bookmarkStart w:id="187" w:name="co_footnote_B00942041287330_1"/>
          <w:bookmarkEnd w:id="187"/>
          <w:p w14:paraId="27D43366"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"#co_footnoteReference_B00942041287330_ID0" </w:instrText>
            </w:r>
            <w:r w:rsidR="00F61700">
              <w:rPr>
                <w:color w:val="000000"/>
              </w:rPr>
            </w:r>
            <w:r>
              <w:rPr>
                <w:color w:val="000000"/>
              </w:rPr>
              <w:fldChar w:fldCharType="separate"/>
            </w:r>
            <w:r>
              <w:rPr>
                <w:color w:val="000000"/>
                <w:vertAlign w:val="superscript"/>
              </w:rPr>
              <w:t>93</w:t>
            </w:r>
            <w:r>
              <w:rPr>
                <w:color w:val="000000"/>
              </w:rPr>
              <w:fldChar w:fldCharType="end"/>
            </w:r>
          </w:p>
          <w:p w14:paraId="12C48675"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1866E50A" w14:textId="77777777" w:rsidR="00793DC4" w:rsidRDefault="00793DC4">
            <w:pPr>
              <w:widowControl w:val="0"/>
              <w:autoSpaceDE w:val="0"/>
              <w:autoSpaceDN w:val="0"/>
              <w:adjustRightInd w:val="0"/>
              <w:jc w:val="both"/>
              <w:rPr>
                <w:color w:val="000000"/>
                <w:sz w:val="18"/>
                <w:szCs w:val="18"/>
              </w:rPr>
            </w:pPr>
            <w:hyperlink r:id="rId263" w:history="1">
              <w:r>
                <w:rPr>
                  <w:i/>
                  <w:iCs/>
                  <w:color w:val="000000"/>
                  <w:sz w:val="18"/>
                  <w:szCs w:val="18"/>
                </w:rPr>
                <w:t xml:space="preserve">In re </w:t>
              </w:r>
              <w:proofErr w:type="spellStart"/>
              <w:r>
                <w:rPr>
                  <w:i/>
                  <w:iCs/>
                  <w:color w:val="000000"/>
                  <w:sz w:val="18"/>
                  <w:szCs w:val="18"/>
                </w:rPr>
                <w:t>Incretin</w:t>
              </w:r>
              <w:proofErr w:type="spellEnd"/>
              <w:r>
                <w:rPr>
                  <w:i/>
                  <w:iCs/>
                  <w:color w:val="000000"/>
                  <w:sz w:val="18"/>
                  <w:szCs w:val="18"/>
                </w:rPr>
                <w:t xml:space="preserve">-Based Therapies Prods. </w:t>
              </w:r>
              <w:proofErr w:type="spellStart"/>
              <w:r>
                <w:rPr>
                  <w:i/>
                  <w:iCs/>
                  <w:color w:val="000000"/>
                  <w:sz w:val="18"/>
                  <w:szCs w:val="18"/>
                </w:rPr>
                <w:t>Liab</w:t>
              </w:r>
              <w:proofErr w:type="spellEnd"/>
              <w:r>
                <w:rPr>
                  <w:i/>
                  <w:iCs/>
                  <w:color w:val="000000"/>
                  <w:sz w:val="18"/>
                  <w:szCs w:val="18"/>
                </w:rPr>
                <w:t xml:space="preserve">. </w:t>
              </w:r>
              <w:proofErr w:type="spellStart"/>
              <w:r>
                <w:rPr>
                  <w:i/>
                  <w:iCs/>
                  <w:color w:val="000000"/>
                  <w:sz w:val="18"/>
                  <w:szCs w:val="18"/>
                </w:rPr>
                <w:t>Litig</w:t>
              </w:r>
              <w:proofErr w:type="spellEnd"/>
              <w:proofErr w:type="gramStart"/>
              <w:r>
                <w:rPr>
                  <w:color w:val="000000"/>
                  <w:sz w:val="18"/>
                  <w:szCs w:val="18"/>
                </w:rPr>
                <w:t>.,</w:t>
              </w:r>
              <w:proofErr w:type="gramEnd"/>
              <w:r>
                <w:rPr>
                  <w:color w:val="000000"/>
                  <w:sz w:val="18"/>
                  <w:szCs w:val="18"/>
                </w:rPr>
                <w:t xml:space="preserve"> 142 F.Supp.3d at 1119</w:t>
              </w:r>
            </w:hyperlink>
            <w:r>
              <w:rPr>
                <w:color w:val="000000"/>
                <w:sz w:val="18"/>
                <w:szCs w:val="18"/>
              </w:rPr>
              <w:t>.</w:t>
            </w:r>
          </w:p>
          <w:p w14:paraId="3E6D5C64" w14:textId="77777777" w:rsidR="00793DC4" w:rsidRDefault="00793DC4">
            <w:pPr>
              <w:widowControl w:val="0"/>
              <w:autoSpaceDE w:val="0"/>
              <w:autoSpaceDN w:val="0"/>
              <w:adjustRightInd w:val="0"/>
              <w:jc w:val="both"/>
              <w:rPr>
                <w:color w:val="000000"/>
                <w:sz w:val="18"/>
                <w:szCs w:val="18"/>
              </w:rPr>
            </w:pPr>
          </w:p>
        </w:tc>
      </w:tr>
    </w:tbl>
    <w:p w14:paraId="7B30381E" w14:textId="77777777" w:rsidR="00793DC4" w:rsidRDefault="00793DC4">
      <w:pPr>
        <w:widowControl w:val="0"/>
        <w:autoSpaceDE w:val="0"/>
        <w:autoSpaceDN w:val="0"/>
        <w:adjustRightInd w:val="0"/>
        <w:jc w:val="both"/>
        <w:rPr>
          <w:color w:val="000000"/>
        </w:rPr>
      </w:pPr>
    </w:p>
    <w:p w14:paraId="03E5CB44" w14:textId="77777777" w:rsidR="00793DC4" w:rsidRDefault="00793DC4">
      <w:pPr>
        <w:widowControl w:val="0"/>
        <w:autoSpaceDE w:val="0"/>
        <w:autoSpaceDN w:val="0"/>
        <w:adjustRightInd w:val="0"/>
        <w:jc w:val="both"/>
        <w:rPr>
          <w:color w:val="000000"/>
        </w:rPr>
      </w:pPr>
      <w:r>
        <w:rPr>
          <w:color w:val="000000"/>
        </w:rPr>
        <w:t xml:space="preserve">Today, we hold that the Supreme Court intended to announce a standard of proof when it used the term “clear evidence” in </w:t>
      </w:r>
      <w:hyperlink r:id="rId264" w:history="1">
        <w:r>
          <w:rPr>
            <w:i/>
            <w:iCs/>
            <w:color w:val="000000"/>
          </w:rPr>
          <w:t>Wyeth</w:t>
        </w:r>
      </w:hyperlink>
      <w:r>
        <w:rPr>
          <w:color w:val="000000"/>
        </w:rPr>
        <w:t>.</w:t>
      </w:r>
    </w:p>
    <w:p w14:paraId="21B3A6A1" w14:textId="77777777" w:rsidR="00793DC4" w:rsidRDefault="00793DC4">
      <w:pPr>
        <w:widowControl w:val="0"/>
        <w:autoSpaceDE w:val="0"/>
        <w:autoSpaceDN w:val="0"/>
        <w:adjustRightInd w:val="0"/>
        <w:jc w:val="both"/>
        <w:rPr>
          <w:color w:val="000000"/>
        </w:rPr>
      </w:pPr>
      <w:r>
        <w:rPr>
          <w:color w:val="000000"/>
        </w:rPr>
        <w:t> </w:t>
      </w:r>
    </w:p>
    <w:p w14:paraId="040C2770" w14:textId="77777777" w:rsidR="00793DC4" w:rsidRDefault="00793DC4">
      <w:pPr>
        <w:widowControl w:val="0"/>
        <w:autoSpaceDE w:val="0"/>
        <w:autoSpaceDN w:val="0"/>
        <w:adjustRightInd w:val="0"/>
        <w:jc w:val="both"/>
        <w:rPr>
          <w:color w:val="000000"/>
        </w:rPr>
      </w:pPr>
      <w:hyperlink r:id="rId265" w:history="1">
        <w:r>
          <w:rPr>
            <w:b/>
            <w:bCs/>
            <w:color w:val="000000"/>
            <w:vertAlign w:val="superscript"/>
          </w:rPr>
          <w:t>[5]</w:t>
        </w:r>
      </w:hyperlink>
      <w:r>
        <w:rPr>
          <w:color w:val="000000"/>
        </w:rPr>
        <w:t xml:space="preserve"> </w:t>
      </w:r>
      <w:hyperlink r:id="rId266" w:history="1">
        <w:r>
          <w:rPr>
            <w:b/>
            <w:bCs/>
            <w:color w:val="000000"/>
            <w:vertAlign w:val="superscript"/>
          </w:rPr>
          <w:t>[6]</w:t>
        </w:r>
      </w:hyperlink>
      <w:r>
        <w:rPr>
          <w:color w:val="000000"/>
        </w:rPr>
        <w:t xml:space="preserve">The </w:t>
      </w:r>
      <w:hyperlink r:id="rId267" w:history="1">
        <w:r>
          <w:rPr>
            <w:i/>
            <w:iCs/>
            <w:color w:val="000000"/>
          </w:rPr>
          <w:t>Wyeth</w:t>
        </w:r>
      </w:hyperlink>
      <w:r>
        <w:rPr>
          <w:color w:val="000000"/>
        </w:rPr>
        <w:t xml:space="preserve"> Court articulated the “clear evidence” exception as follows: “[</w:t>
      </w:r>
      <w:proofErr w:type="gramStart"/>
      <w:r>
        <w:rPr>
          <w:color w:val="000000"/>
        </w:rPr>
        <w:t>A]</w:t>
      </w:r>
      <w:proofErr w:type="spellStart"/>
      <w:r>
        <w:rPr>
          <w:color w:val="000000"/>
        </w:rPr>
        <w:t>bsent</w:t>
      </w:r>
      <w:proofErr w:type="spellEnd"/>
      <w:proofErr w:type="gramEnd"/>
      <w:r>
        <w:rPr>
          <w:color w:val="000000"/>
        </w:rPr>
        <w:t xml:space="preserve"> clear evidence that the FDA would not have approved a change to </w:t>
      </w:r>
      <w:hyperlink r:id="rId268" w:history="1">
        <w:r>
          <w:rPr>
            <w:color w:val="000000"/>
          </w:rPr>
          <w:t>Phenergan</w:t>
        </w:r>
      </w:hyperlink>
      <w:r>
        <w:rPr>
          <w:color w:val="000000"/>
        </w:rPr>
        <w:t xml:space="preserve">’s label, we will not conclude that it was impossible for Wyeth to comply with both federal and state requirements.” </w:t>
      </w:r>
      <w:r>
        <w:rPr>
          <w:b/>
          <w:bCs/>
          <w:color w:val="000000"/>
        </w:rPr>
        <w:t>*285</w:t>
      </w:r>
      <w:r>
        <w:rPr>
          <w:color w:val="000000"/>
        </w:rPr>
        <w:t xml:space="preserve"> </w:t>
      </w:r>
      <w:bookmarkStart w:id="188" w:name="co_footnoteReference_B00952041287330_ID0"/>
      <w:bookmarkEnd w:id="188"/>
      <w:r>
        <w:rPr>
          <w:color w:val="000000"/>
          <w:sz w:val="16"/>
          <w:szCs w:val="16"/>
        </w:rPr>
        <w:fldChar w:fldCharType="begin"/>
      </w:r>
      <w:r>
        <w:rPr>
          <w:color w:val="000000"/>
          <w:sz w:val="16"/>
          <w:szCs w:val="16"/>
        </w:rPr>
        <w:instrText xml:space="preserve">HYPERLINK "#co_footnote_B00952041287330_1" </w:instrText>
      </w:r>
      <w:r w:rsidR="00F61700">
        <w:rPr>
          <w:color w:val="000000"/>
          <w:sz w:val="16"/>
          <w:szCs w:val="16"/>
        </w:rPr>
      </w:r>
      <w:r>
        <w:rPr>
          <w:color w:val="000000"/>
          <w:sz w:val="16"/>
          <w:szCs w:val="16"/>
        </w:rPr>
        <w:fldChar w:fldCharType="separate"/>
      </w:r>
      <w:r>
        <w:rPr>
          <w:color w:val="000000"/>
          <w:sz w:val="16"/>
          <w:szCs w:val="16"/>
          <w:vertAlign w:val="superscript"/>
        </w:rPr>
        <w:t>94</w:t>
      </w:r>
      <w:r>
        <w:rPr>
          <w:color w:val="000000"/>
          <w:sz w:val="16"/>
          <w:szCs w:val="16"/>
        </w:rPr>
        <w:fldChar w:fldCharType="end"/>
      </w:r>
      <w:r>
        <w:rPr>
          <w:color w:val="000000"/>
        </w:rPr>
        <w:t xml:space="preserve"> This formula has three components: (1) a legal rule that defines the circumstances in which a manufacturer is absolved of state-law liability (it must be impossible for the manufacturer to comply with both federal and state requirements); (2) a factual showing that satisfies the legal rule (the FDA would not have approved the proposed label change); and (3) a standard of proof that specifies how convincing the factual showing must be (the manufacturer must show that the FDA would not have approved the proposed label change by “clear evidence”). The term “clear evidence” therefore does not refer directly to the </w:t>
      </w:r>
      <w:r>
        <w:rPr>
          <w:i/>
          <w:iCs/>
          <w:color w:val="000000"/>
        </w:rPr>
        <w:t>type</w:t>
      </w:r>
      <w:r>
        <w:rPr>
          <w:color w:val="000000"/>
        </w:rPr>
        <w:t xml:space="preserve"> of facts that a manufacturer must show, or to the circumstances in which preemption will be appropriate. Rather, it specifies how </w:t>
      </w:r>
      <w:r>
        <w:rPr>
          <w:i/>
          <w:iCs/>
          <w:color w:val="000000"/>
        </w:rPr>
        <w:t>difficult</w:t>
      </w:r>
      <w:r>
        <w:rPr>
          <w:color w:val="000000"/>
        </w:rPr>
        <w:t xml:space="preserve"> it will be for the manufacturer to convince the </w:t>
      </w:r>
      <w:proofErr w:type="spellStart"/>
      <w:r>
        <w:rPr>
          <w:color w:val="000000"/>
        </w:rPr>
        <w:t>factfinder</w:t>
      </w:r>
      <w:proofErr w:type="spellEnd"/>
      <w:r>
        <w:rPr>
          <w:color w:val="000000"/>
        </w:rPr>
        <w:t xml:space="preserve"> that the FDA would have rejected a proposed label change. The manufacturer must prove that the FDA would have rejected a warning not simply by a preponderance of the evidence, as in most civil cases, but by “clear evidence.”</w:t>
      </w:r>
    </w:p>
    <w:p w14:paraId="6151A8F6"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7ED8D4A3" w14:textId="77777777">
        <w:tblPrEx>
          <w:tblCellMar>
            <w:top w:w="0" w:type="dxa"/>
            <w:left w:w="0" w:type="dxa"/>
            <w:bottom w:w="0" w:type="dxa"/>
            <w:right w:w="0" w:type="dxa"/>
          </w:tblCellMar>
        </w:tblPrEx>
        <w:tc>
          <w:tcPr>
            <w:tcW w:w="600" w:type="dxa"/>
            <w:tcBorders>
              <w:top w:val="nil"/>
              <w:left w:val="nil"/>
              <w:bottom w:val="nil"/>
              <w:right w:val="nil"/>
            </w:tcBorders>
          </w:tcPr>
          <w:bookmarkStart w:id="189" w:name="co_footnote_B00952041287330_1"/>
          <w:bookmarkEnd w:id="189"/>
          <w:p w14:paraId="14CBC4D4"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"#co_footnoteReference_B00952041287330_ID0" </w:instrText>
            </w:r>
            <w:r w:rsidR="00F61700">
              <w:rPr>
                <w:color w:val="000000"/>
              </w:rPr>
            </w:r>
            <w:r>
              <w:rPr>
                <w:color w:val="000000"/>
              </w:rPr>
              <w:fldChar w:fldCharType="separate"/>
            </w:r>
            <w:r>
              <w:rPr>
                <w:color w:val="000000"/>
                <w:vertAlign w:val="superscript"/>
              </w:rPr>
              <w:t>94</w:t>
            </w:r>
            <w:r>
              <w:rPr>
                <w:color w:val="000000"/>
              </w:rPr>
              <w:fldChar w:fldCharType="end"/>
            </w:r>
          </w:p>
          <w:p w14:paraId="684ABC39"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1623D44A" w14:textId="77777777" w:rsidR="00793DC4" w:rsidRDefault="00793DC4">
            <w:pPr>
              <w:widowControl w:val="0"/>
              <w:autoSpaceDE w:val="0"/>
              <w:autoSpaceDN w:val="0"/>
              <w:adjustRightInd w:val="0"/>
              <w:jc w:val="both"/>
              <w:rPr>
                <w:color w:val="000000"/>
                <w:sz w:val="18"/>
                <w:szCs w:val="18"/>
              </w:rPr>
            </w:pPr>
            <w:hyperlink r:id="rId269" w:history="1">
              <w:r>
                <w:rPr>
                  <w:color w:val="000000"/>
                  <w:sz w:val="18"/>
                  <w:szCs w:val="18"/>
                </w:rPr>
                <w:t xml:space="preserve">555 U.S. at 571, 129 </w:t>
              </w:r>
              <w:proofErr w:type="spellStart"/>
              <w:r>
                <w:rPr>
                  <w:color w:val="000000"/>
                  <w:sz w:val="18"/>
                  <w:szCs w:val="18"/>
                </w:rPr>
                <w:t>S.Ct</w:t>
              </w:r>
              <w:proofErr w:type="spellEnd"/>
              <w:r>
                <w:rPr>
                  <w:color w:val="000000"/>
                  <w:sz w:val="18"/>
                  <w:szCs w:val="18"/>
                </w:rPr>
                <w:t>. 1187</w:t>
              </w:r>
            </w:hyperlink>
            <w:r>
              <w:rPr>
                <w:color w:val="000000"/>
                <w:sz w:val="18"/>
                <w:szCs w:val="18"/>
              </w:rPr>
              <w:t>.</w:t>
            </w:r>
          </w:p>
          <w:p w14:paraId="7793DED7" w14:textId="77777777" w:rsidR="00793DC4" w:rsidRDefault="00793DC4">
            <w:pPr>
              <w:widowControl w:val="0"/>
              <w:autoSpaceDE w:val="0"/>
              <w:autoSpaceDN w:val="0"/>
              <w:adjustRightInd w:val="0"/>
              <w:jc w:val="both"/>
              <w:rPr>
                <w:color w:val="000000"/>
                <w:sz w:val="18"/>
                <w:szCs w:val="18"/>
              </w:rPr>
            </w:pPr>
          </w:p>
        </w:tc>
      </w:tr>
    </w:tbl>
    <w:p w14:paraId="5F627F34" w14:textId="77777777" w:rsidR="00793DC4" w:rsidRDefault="00793DC4">
      <w:pPr>
        <w:widowControl w:val="0"/>
        <w:autoSpaceDE w:val="0"/>
        <w:autoSpaceDN w:val="0"/>
        <w:adjustRightInd w:val="0"/>
        <w:jc w:val="both"/>
        <w:rPr>
          <w:color w:val="000000"/>
        </w:rPr>
      </w:pPr>
    </w:p>
    <w:p w14:paraId="60B6CFD2" w14:textId="77777777" w:rsidR="00793DC4" w:rsidRDefault="00793DC4">
      <w:pPr>
        <w:widowControl w:val="0"/>
        <w:autoSpaceDE w:val="0"/>
        <w:autoSpaceDN w:val="0"/>
        <w:adjustRightInd w:val="0"/>
        <w:jc w:val="both"/>
        <w:rPr>
          <w:color w:val="000000"/>
          <w:sz w:val="16"/>
          <w:szCs w:val="16"/>
        </w:rPr>
      </w:pPr>
      <w:r>
        <w:rPr>
          <w:color w:val="000000"/>
        </w:rPr>
        <w:t xml:space="preserve">Our conclusion that the </w:t>
      </w:r>
      <w:hyperlink r:id="rId270" w:history="1">
        <w:r>
          <w:rPr>
            <w:i/>
            <w:iCs/>
            <w:color w:val="000000"/>
          </w:rPr>
          <w:t>Wyeth</w:t>
        </w:r>
      </w:hyperlink>
      <w:r>
        <w:rPr>
          <w:color w:val="000000"/>
        </w:rPr>
        <w:t xml:space="preserve"> Court intended the term “clear evidence” to denote a standard of proof is supported by the Supreme Court’s prior usage of the term. For example, the Court has consistently held that a complainant alleging official government misconduct must present “clear evidence” of unlawful behavior.</w:t>
      </w:r>
      <w:bookmarkStart w:id="190" w:name="co_footnoteReference_B00962041287330_ID0"/>
      <w:bookmarkEnd w:id="190"/>
      <w:r>
        <w:rPr>
          <w:color w:val="000000"/>
          <w:sz w:val="16"/>
          <w:szCs w:val="16"/>
        </w:rPr>
        <w:fldChar w:fldCharType="begin"/>
      </w:r>
      <w:r>
        <w:rPr>
          <w:color w:val="000000"/>
          <w:sz w:val="16"/>
          <w:szCs w:val="16"/>
        </w:rPr>
        <w:instrText xml:space="preserve">HYPERLINK "#co_footnote_B00962041287330_1" </w:instrText>
      </w:r>
      <w:r w:rsidR="00F61700">
        <w:rPr>
          <w:color w:val="000000"/>
          <w:sz w:val="16"/>
          <w:szCs w:val="16"/>
        </w:rPr>
      </w:r>
      <w:r>
        <w:rPr>
          <w:color w:val="000000"/>
          <w:sz w:val="16"/>
          <w:szCs w:val="16"/>
        </w:rPr>
        <w:fldChar w:fldCharType="separate"/>
      </w:r>
      <w:r>
        <w:rPr>
          <w:color w:val="000000"/>
          <w:sz w:val="16"/>
          <w:szCs w:val="16"/>
          <w:vertAlign w:val="superscript"/>
        </w:rPr>
        <w:t>95</w:t>
      </w:r>
      <w:r>
        <w:rPr>
          <w:color w:val="000000"/>
          <w:sz w:val="16"/>
          <w:szCs w:val="16"/>
        </w:rPr>
        <w:fldChar w:fldCharType="end"/>
      </w:r>
      <w:r>
        <w:rPr>
          <w:color w:val="000000"/>
        </w:rPr>
        <w:t xml:space="preserve"> “Clear evidence” in this context is understood to be a standard of proof, rather than a condition on the type of facts that must be proven.</w:t>
      </w:r>
      <w:bookmarkStart w:id="191" w:name="co_footnoteReference_B00972041287330_ID0"/>
      <w:bookmarkEnd w:id="191"/>
      <w:r>
        <w:rPr>
          <w:color w:val="000000"/>
          <w:sz w:val="16"/>
          <w:szCs w:val="16"/>
        </w:rPr>
        <w:fldChar w:fldCharType="begin"/>
      </w:r>
      <w:r>
        <w:rPr>
          <w:color w:val="000000"/>
          <w:sz w:val="16"/>
          <w:szCs w:val="16"/>
        </w:rPr>
        <w:instrText xml:space="preserve">HYPERLINK "#co_footnote_B00972041287330_1" </w:instrText>
      </w:r>
      <w:r w:rsidR="00F61700">
        <w:rPr>
          <w:color w:val="000000"/>
          <w:sz w:val="16"/>
          <w:szCs w:val="16"/>
        </w:rPr>
      </w:r>
      <w:r>
        <w:rPr>
          <w:color w:val="000000"/>
          <w:sz w:val="16"/>
          <w:szCs w:val="16"/>
        </w:rPr>
        <w:fldChar w:fldCharType="separate"/>
      </w:r>
      <w:r>
        <w:rPr>
          <w:color w:val="000000"/>
          <w:sz w:val="16"/>
          <w:szCs w:val="16"/>
          <w:vertAlign w:val="superscript"/>
        </w:rPr>
        <w:t>96</w:t>
      </w:r>
      <w:r>
        <w:rPr>
          <w:color w:val="000000"/>
          <w:sz w:val="16"/>
          <w:szCs w:val="16"/>
        </w:rPr>
        <w:fldChar w:fldCharType="end"/>
      </w:r>
      <w:r>
        <w:rPr>
          <w:color w:val="000000"/>
        </w:rPr>
        <w:t xml:space="preserve"> Similar examples are found in the bankruptcy and patent settings.</w:t>
      </w:r>
      <w:bookmarkStart w:id="192" w:name="co_footnoteReference_B00982041287330_ID0"/>
      <w:bookmarkEnd w:id="192"/>
      <w:r>
        <w:rPr>
          <w:color w:val="000000"/>
          <w:sz w:val="16"/>
          <w:szCs w:val="16"/>
        </w:rPr>
        <w:fldChar w:fldCharType="begin"/>
      </w:r>
      <w:r>
        <w:rPr>
          <w:color w:val="000000"/>
          <w:sz w:val="16"/>
          <w:szCs w:val="16"/>
        </w:rPr>
        <w:instrText xml:space="preserve">HYPERLINK "#co_footnote_B00982041287330_1" </w:instrText>
      </w:r>
      <w:r w:rsidR="00F61700">
        <w:rPr>
          <w:color w:val="000000"/>
          <w:sz w:val="16"/>
          <w:szCs w:val="16"/>
        </w:rPr>
      </w:r>
      <w:r>
        <w:rPr>
          <w:color w:val="000000"/>
          <w:sz w:val="16"/>
          <w:szCs w:val="16"/>
        </w:rPr>
        <w:fldChar w:fldCharType="separate"/>
      </w:r>
      <w:r>
        <w:rPr>
          <w:color w:val="000000"/>
          <w:sz w:val="16"/>
          <w:szCs w:val="16"/>
          <w:vertAlign w:val="superscript"/>
        </w:rPr>
        <w:t>97</w:t>
      </w:r>
      <w:r>
        <w:rPr>
          <w:color w:val="000000"/>
          <w:sz w:val="16"/>
          <w:szCs w:val="16"/>
        </w:rPr>
        <w:fldChar w:fldCharType="end"/>
      </w:r>
    </w:p>
    <w:p w14:paraId="604F94A3"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54DC8A30" w14:textId="77777777">
        <w:tblPrEx>
          <w:tblCellMar>
            <w:top w:w="0" w:type="dxa"/>
            <w:left w:w="0" w:type="dxa"/>
            <w:bottom w:w="0" w:type="dxa"/>
            <w:right w:w="0" w:type="dxa"/>
          </w:tblCellMar>
        </w:tblPrEx>
        <w:tc>
          <w:tcPr>
            <w:tcW w:w="600" w:type="dxa"/>
            <w:tcBorders>
              <w:top w:val="nil"/>
              <w:left w:val="nil"/>
              <w:bottom w:val="nil"/>
              <w:right w:val="nil"/>
            </w:tcBorders>
          </w:tcPr>
          <w:bookmarkStart w:id="193" w:name="co_footnote_B00962041287330_1"/>
          <w:bookmarkEnd w:id="193"/>
          <w:p w14:paraId="680619E3"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"#co_footnoteReference_B00962041287330_ID0" </w:instrText>
            </w:r>
            <w:r w:rsidR="00F61700">
              <w:rPr>
                <w:color w:val="000000"/>
              </w:rPr>
            </w:r>
            <w:r>
              <w:rPr>
                <w:color w:val="000000"/>
              </w:rPr>
              <w:fldChar w:fldCharType="separate"/>
            </w:r>
            <w:r>
              <w:rPr>
                <w:color w:val="000000"/>
                <w:vertAlign w:val="superscript"/>
              </w:rPr>
              <w:t>95</w:t>
            </w:r>
            <w:r>
              <w:rPr>
                <w:color w:val="000000"/>
              </w:rPr>
              <w:fldChar w:fldCharType="end"/>
            </w:r>
          </w:p>
          <w:p w14:paraId="4D1C1027"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48A47738" w14:textId="77777777" w:rsidR="00793DC4" w:rsidRDefault="00793DC4">
            <w:pPr>
              <w:widowControl w:val="0"/>
              <w:autoSpaceDE w:val="0"/>
              <w:autoSpaceDN w:val="0"/>
              <w:adjustRightInd w:val="0"/>
              <w:jc w:val="both"/>
              <w:rPr>
                <w:color w:val="000000"/>
                <w:sz w:val="18"/>
                <w:szCs w:val="18"/>
              </w:rPr>
            </w:pPr>
            <w:r>
              <w:rPr>
                <w:i/>
                <w:iCs/>
                <w:color w:val="000000"/>
                <w:sz w:val="18"/>
                <w:szCs w:val="18"/>
              </w:rPr>
              <w:t>See</w:t>
            </w:r>
            <w:r>
              <w:rPr>
                <w:color w:val="000000"/>
                <w:sz w:val="18"/>
                <w:szCs w:val="18"/>
              </w:rPr>
              <w:t xml:space="preserve">, </w:t>
            </w:r>
            <w:r>
              <w:rPr>
                <w:i/>
                <w:iCs/>
                <w:color w:val="000000"/>
                <w:sz w:val="18"/>
                <w:szCs w:val="18"/>
              </w:rPr>
              <w:t>e.g.</w:t>
            </w:r>
            <w:r>
              <w:rPr>
                <w:color w:val="000000"/>
                <w:sz w:val="18"/>
                <w:szCs w:val="18"/>
              </w:rPr>
              <w:t xml:space="preserve">, </w:t>
            </w:r>
            <w:hyperlink r:id="rId271" w:history="1">
              <w:r>
                <w:rPr>
                  <w:i/>
                  <w:iCs/>
                  <w:color w:val="000000"/>
                  <w:sz w:val="18"/>
                  <w:szCs w:val="18"/>
                </w:rPr>
                <w:t>United States v. Chemical Found</w:t>
              </w:r>
              <w:proofErr w:type="gramStart"/>
              <w:r>
                <w:rPr>
                  <w:i/>
                  <w:iCs/>
                  <w:color w:val="000000"/>
                  <w:sz w:val="18"/>
                  <w:szCs w:val="18"/>
                </w:rPr>
                <w:t>.,</w:t>
              </w:r>
              <w:proofErr w:type="gramEnd"/>
              <w:r>
                <w:rPr>
                  <w:i/>
                  <w:iCs/>
                  <w:color w:val="000000"/>
                  <w:sz w:val="18"/>
                  <w:szCs w:val="18"/>
                </w:rPr>
                <w:t xml:space="preserve"> Inc</w:t>
              </w:r>
              <w:r>
                <w:rPr>
                  <w:color w:val="000000"/>
                  <w:sz w:val="18"/>
                  <w:szCs w:val="18"/>
                </w:rPr>
                <w:t xml:space="preserve">., 272 U.S. 1, 14-15, 47 </w:t>
              </w:r>
              <w:proofErr w:type="spellStart"/>
              <w:r>
                <w:rPr>
                  <w:color w:val="000000"/>
                  <w:sz w:val="18"/>
                  <w:szCs w:val="18"/>
                </w:rPr>
                <w:t>S.Ct</w:t>
              </w:r>
              <w:proofErr w:type="spellEnd"/>
              <w:r>
                <w:rPr>
                  <w:color w:val="000000"/>
                  <w:sz w:val="18"/>
                  <w:szCs w:val="18"/>
                </w:rPr>
                <w:t xml:space="preserve">. 1, 71 </w:t>
              </w:r>
              <w:proofErr w:type="spellStart"/>
              <w:r>
                <w:rPr>
                  <w:color w:val="000000"/>
                  <w:sz w:val="18"/>
                  <w:szCs w:val="18"/>
                </w:rPr>
                <w:t>L.Ed</w:t>
              </w:r>
              <w:proofErr w:type="spellEnd"/>
              <w:r>
                <w:rPr>
                  <w:color w:val="000000"/>
                  <w:sz w:val="18"/>
                  <w:szCs w:val="18"/>
                </w:rPr>
                <w:t>. 131 (1926)</w:t>
              </w:r>
            </w:hyperlink>
            <w:r>
              <w:rPr>
                <w:color w:val="000000"/>
                <w:sz w:val="18"/>
                <w:szCs w:val="18"/>
              </w:rPr>
              <w:t xml:space="preserve"> (“The presumption of regularity supports the official acts of public officers, and, in the absence of clear evidence to the contrary, courts presume that they have properly discharged their official duties.”); </w:t>
            </w:r>
            <w:hyperlink r:id="rId272" w:history="1">
              <w:r>
                <w:rPr>
                  <w:i/>
                  <w:iCs/>
                  <w:color w:val="000000"/>
                  <w:sz w:val="18"/>
                  <w:szCs w:val="18"/>
                </w:rPr>
                <w:t>United States v. Armstrong</w:t>
              </w:r>
              <w:r>
                <w:rPr>
                  <w:color w:val="000000"/>
                  <w:sz w:val="18"/>
                  <w:szCs w:val="18"/>
                </w:rPr>
                <w:t xml:space="preserve">, 517 U.S. 456, 465, 116 </w:t>
              </w:r>
              <w:proofErr w:type="spellStart"/>
              <w:r>
                <w:rPr>
                  <w:color w:val="000000"/>
                  <w:sz w:val="18"/>
                  <w:szCs w:val="18"/>
                </w:rPr>
                <w:t>S.Ct</w:t>
              </w:r>
              <w:proofErr w:type="spellEnd"/>
              <w:r>
                <w:rPr>
                  <w:color w:val="000000"/>
                  <w:sz w:val="18"/>
                  <w:szCs w:val="18"/>
                </w:rPr>
                <w:t>. 1480, 134 L.Ed.2d 687 (1996)</w:t>
              </w:r>
            </w:hyperlink>
            <w:r>
              <w:rPr>
                <w:color w:val="000000"/>
                <w:sz w:val="18"/>
                <w:szCs w:val="18"/>
              </w:rPr>
              <w:t xml:space="preserve"> (criminal defendant alleging racially discriminatory prosecution must present “clear evidence” that prosecutorial policy had discriminatory effect and purpose); </w:t>
            </w:r>
            <w:hyperlink r:id="rId273" w:history="1">
              <w:r>
                <w:rPr>
                  <w:i/>
                  <w:iCs/>
                  <w:color w:val="000000"/>
                  <w:sz w:val="18"/>
                  <w:szCs w:val="18"/>
                </w:rPr>
                <w:t>Reno v. American-Arab Anti-Discrimination Comm</w:t>
              </w:r>
              <w:r>
                <w:rPr>
                  <w:color w:val="000000"/>
                  <w:sz w:val="18"/>
                  <w:szCs w:val="18"/>
                </w:rPr>
                <w:t xml:space="preserve">., 525 U.S. 471, 489, 119 </w:t>
              </w:r>
              <w:proofErr w:type="spellStart"/>
              <w:r>
                <w:rPr>
                  <w:color w:val="000000"/>
                  <w:sz w:val="18"/>
                  <w:szCs w:val="18"/>
                </w:rPr>
                <w:t>S.Ct</w:t>
              </w:r>
              <w:proofErr w:type="spellEnd"/>
              <w:r>
                <w:rPr>
                  <w:color w:val="000000"/>
                  <w:sz w:val="18"/>
                  <w:szCs w:val="18"/>
                </w:rPr>
                <w:t>. 936, 142 L.Ed.2d 940 (1999)</w:t>
              </w:r>
            </w:hyperlink>
            <w:r>
              <w:rPr>
                <w:color w:val="000000"/>
                <w:sz w:val="18"/>
                <w:szCs w:val="18"/>
              </w:rPr>
              <w:t xml:space="preserve"> (selective prosecution claim requires “clear evidence” of unlawful action).</w:t>
            </w:r>
          </w:p>
          <w:p w14:paraId="687E6B05" w14:textId="77777777" w:rsidR="00793DC4" w:rsidRDefault="00793DC4">
            <w:pPr>
              <w:widowControl w:val="0"/>
              <w:autoSpaceDE w:val="0"/>
              <w:autoSpaceDN w:val="0"/>
              <w:adjustRightInd w:val="0"/>
              <w:jc w:val="both"/>
              <w:rPr>
                <w:color w:val="000000"/>
                <w:sz w:val="18"/>
                <w:szCs w:val="18"/>
              </w:rPr>
            </w:pPr>
          </w:p>
        </w:tc>
      </w:tr>
    </w:tbl>
    <w:p w14:paraId="2BAE3871"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27A2F4CC" w14:textId="77777777">
        <w:tblPrEx>
          <w:tblCellMar>
            <w:top w:w="0" w:type="dxa"/>
            <w:left w:w="0" w:type="dxa"/>
            <w:bottom w:w="0" w:type="dxa"/>
            <w:right w:w="0" w:type="dxa"/>
          </w:tblCellMar>
        </w:tblPrEx>
        <w:tc>
          <w:tcPr>
            <w:tcW w:w="600" w:type="dxa"/>
            <w:tcBorders>
              <w:top w:val="nil"/>
              <w:left w:val="nil"/>
              <w:bottom w:val="nil"/>
              <w:right w:val="nil"/>
            </w:tcBorders>
          </w:tcPr>
          <w:bookmarkStart w:id="194" w:name="co_footnote_B00972041287330_1"/>
          <w:bookmarkEnd w:id="194"/>
          <w:p w14:paraId="55B81B32"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"#co_footnoteReference_B00972041287330_ID0" </w:instrText>
            </w:r>
            <w:r w:rsidR="00F61700">
              <w:rPr>
                <w:color w:val="000000"/>
              </w:rPr>
            </w:r>
            <w:r>
              <w:rPr>
                <w:color w:val="000000"/>
              </w:rPr>
              <w:fldChar w:fldCharType="separate"/>
            </w:r>
            <w:r>
              <w:rPr>
                <w:color w:val="000000"/>
                <w:vertAlign w:val="superscript"/>
              </w:rPr>
              <w:t>96</w:t>
            </w:r>
            <w:r>
              <w:rPr>
                <w:color w:val="000000"/>
              </w:rPr>
              <w:fldChar w:fldCharType="end"/>
            </w:r>
          </w:p>
          <w:p w14:paraId="12F82655"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54E34433" w14:textId="77777777" w:rsidR="00793DC4" w:rsidRDefault="00793DC4">
            <w:pPr>
              <w:widowControl w:val="0"/>
              <w:autoSpaceDE w:val="0"/>
              <w:autoSpaceDN w:val="0"/>
              <w:adjustRightInd w:val="0"/>
              <w:jc w:val="both"/>
              <w:rPr>
                <w:color w:val="000000"/>
                <w:sz w:val="18"/>
                <w:szCs w:val="18"/>
              </w:rPr>
            </w:pPr>
            <w:r>
              <w:rPr>
                <w:i/>
                <w:iCs/>
                <w:color w:val="000000"/>
                <w:sz w:val="18"/>
                <w:szCs w:val="18"/>
              </w:rPr>
              <w:t xml:space="preserve">See </w:t>
            </w:r>
            <w:hyperlink r:id="rId274" w:history="1">
              <w:r>
                <w:rPr>
                  <w:i/>
                  <w:iCs/>
                  <w:color w:val="000000"/>
                  <w:sz w:val="18"/>
                  <w:szCs w:val="18"/>
                </w:rPr>
                <w:t>Reno</w:t>
              </w:r>
              <w:r>
                <w:rPr>
                  <w:color w:val="000000"/>
                  <w:sz w:val="18"/>
                  <w:szCs w:val="18"/>
                </w:rPr>
                <w:t xml:space="preserve">, 525 U.S. at 489, 119 </w:t>
              </w:r>
              <w:proofErr w:type="spellStart"/>
              <w:r>
                <w:rPr>
                  <w:color w:val="000000"/>
                  <w:sz w:val="18"/>
                  <w:szCs w:val="18"/>
                </w:rPr>
                <w:t>S.Ct</w:t>
              </w:r>
              <w:proofErr w:type="spellEnd"/>
              <w:r>
                <w:rPr>
                  <w:color w:val="000000"/>
                  <w:sz w:val="18"/>
                  <w:szCs w:val="18"/>
                </w:rPr>
                <w:t>. 936</w:t>
              </w:r>
            </w:hyperlink>
            <w:r>
              <w:rPr>
                <w:color w:val="000000"/>
                <w:sz w:val="18"/>
                <w:szCs w:val="18"/>
              </w:rPr>
              <w:t xml:space="preserve"> (stating that clear evidence is “the standard for proving” a selective prosecution claim); </w:t>
            </w:r>
            <w:hyperlink r:id="rId275" w:history="1">
              <w:r>
                <w:rPr>
                  <w:i/>
                  <w:iCs/>
                  <w:color w:val="000000"/>
                  <w:sz w:val="18"/>
                  <w:szCs w:val="18"/>
                </w:rPr>
                <w:t>United States v. Jarrett</w:t>
              </w:r>
              <w:r>
                <w:rPr>
                  <w:color w:val="000000"/>
                  <w:sz w:val="18"/>
                  <w:szCs w:val="18"/>
                </w:rPr>
                <w:t>, 447 F.3d 520, 525 (7th Cir. 2006)</w:t>
              </w:r>
            </w:hyperlink>
            <w:r>
              <w:rPr>
                <w:color w:val="000000"/>
                <w:sz w:val="18"/>
                <w:szCs w:val="18"/>
              </w:rPr>
              <w:t xml:space="preserve"> (describing clear evidence as “[t]he standard of proof” for selective prosecution claims).</w:t>
            </w:r>
          </w:p>
          <w:p w14:paraId="2DBC30A5" w14:textId="77777777" w:rsidR="00793DC4" w:rsidRDefault="00793DC4">
            <w:pPr>
              <w:widowControl w:val="0"/>
              <w:autoSpaceDE w:val="0"/>
              <w:autoSpaceDN w:val="0"/>
              <w:adjustRightInd w:val="0"/>
              <w:jc w:val="both"/>
              <w:rPr>
                <w:color w:val="000000"/>
                <w:sz w:val="18"/>
                <w:szCs w:val="18"/>
              </w:rPr>
            </w:pPr>
          </w:p>
        </w:tc>
      </w:tr>
    </w:tbl>
    <w:p w14:paraId="3195FB32"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2C82C7E4" w14:textId="77777777">
        <w:tblPrEx>
          <w:tblCellMar>
            <w:top w:w="0" w:type="dxa"/>
            <w:left w:w="0" w:type="dxa"/>
            <w:bottom w:w="0" w:type="dxa"/>
            <w:right w:w="0" w:type="dxa"/>
          </w:tblCellMar>
        </w:tblPrEx>
        <w:tc>
          <w:tcPr>
            <w:tcW w:w="600" w:type="dxa"/>
            <w:tcBorders>
              <w:top w:val="nil"/>
              <w:left w:val="nil"/>
              <w:bottom w:val="nil"/>
              <w:right w:val="nil"/>
            </w:tcBorders>
          </w:tcPr>
          <w:bookmarkStart w:id="195" w:name="co_footnote_B00982041287330_1"/>
          <w:bookmarkEnd w:id="195"/>
          <w:p w14:paraId="61D272C5"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"#co_footnoteReference_B00982041287330_ID0" </w:instrText>
            </w:r>
            <w:r w:rsidR="00F61700">
              <w:rPr>
                <w:color w:val="000000"/>
              </w:rPr>
            </w:r>
            <w:r>
              <w:rPr>
                <w:color w:val="000000"/>
              </w:rPr>
              <w:fldChar w:fldCharType="separate"/>
            </w:r>
            <w:r>
              <w:rPr>
                <w:color w:val="000000"/>
                <w:vertAlign w:val="superscript"/>
              </w:rPr>
              <w:t>97</w:t>
            </w:r>
            <w:r>
              <w:rPr>
                <w:color w:val="000000"/>
              </w:rPr>
              <w:fldChar w:fldCharType="end"/>
            </w:r>
          </w:p>
          <w:p w14:paraId="6189E5F4"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02479B2F" w14:textId="77777777" w:rsidR="00793DC4" w:rsidRDefault="00793DC4">
            <w:pPr>
              <w:widowControl w:val="0"/>
              <w:autoSpaceDE w:val="0"/>
              <w:autoSpaceDN w:val="0"/>
              <w:adjustRightInd w:val="0"/>
              <w:jc w:val="both"/>
              <w:rPr>
                <w:color w:val="000000"/>
                <w:sz w:val="18"/>
                <w:szCs w:val="18"/>
              </w:rPr>
            </w:pPr>
            <w:r>
              <w:rPr>
                <w:i/>
                <w:iCs/>
                <w:color w:val="000000"/>
                <w:sz w:val="18"/>
                <w:szCs w:val="18"/>
              </w:rPr>
              <w:t xml:space="preserve">See </w:t>
            </w:r>
            <w:hyperlink r:id="rId276" w:history="1">
              <w:r>
                <w:rPr>
                  <w:i/>
                  <w:iCs/>
                  <w:color w:val="000000"/>
                  <w:sz w:val="18"/>
                  <w:szCs w:val="18"/>
                </w:rPr>
                <w:t>Oriel v. Russell</w:t>
              </w:r>
              <w:r>
                <w:rPr>
                  <w:color w:val="000000"/>
                  <w:sz w:val="18"/>
                  <w:szCs w:val="18"/>
                </w:rPr>
                <w:t xml:space="preserve">, 278 U.S. 358, 362-63, 49 </w:t>
              </w:r>
              <w:proofErr w:type="spellStart"/>
              <w:r>
                <w:rPr>
                  <w:color w:val="000000"/>
                  <w:sz w:val="18"/>
                  <w:szCs w:val="18"/>
                </w:rPr>
                <w:t>S.Ct</w:t>
              </w:r>
              <w:proofErr w:type="spellEnd"/>
              <w:r>
                <w:rPr>
                  <w:color w:val="000000"/>
                  <w:sz w:val="18"/>
                  <w:szCs w:val="18"/>
                </w:rPr>
                <w:t xml:space="preserve">. 173, 73 </w:t>
              </w:r>
              <w:proofErr w:type="spellStart"/>
              <w:r>
                <w:rPr>
                  <w:color w:val="000000"/>
                  <w:sz w:val="18"/>
                  <w:szCs w:val="18"/>
                </w:rPr>
                <w:t>L.Ed</w:t>
              </w:r>
              <w:proofErr w:type="spellEnd"/>
              <w:r>
                <w:rPr>
                  <w:color w:val="000000"/>
                  <w:sz w:val="18"/>
                  <w:szCs w:val="18"/>
                </w:rPr>
                <w:t>. 419 (1929)</w:t>
              </w:r>
            </w:hyperlink>
            <w:r>
              <w:rPr>
                <w:color w:val="000000"/>
                <w:sz w:val="18"/>
                <w:szCs w:val="18"/>
              </w:rPr>
              <w:t xml:space="preserve"> (when a party seeks turnover in a bankruptcy proceeding, “[a] mere preponderance of evidence ... is not enough” and the court deciding the motion “should therefore require clear evidence”); </w:t>
            </w:r>
            <w:hyperlink r:id="rId277" w:history="1">
              <w:r>
                <w:rPr>
                  <w:i/>
                  <w:iCs/>
                  <w:color w:val="000000"/>
                  <w:sz w:val="18"/>
                  <w:szCs w:val="18"/>
                </w:rPr>
                <w:t xml:space="preserve">Microsoft v. I4I Ltd. </w:t>
              </w:r>
              <w:proofErr w:type="spellStart"/>
              <w:r>
                <w:rPr>
                  <w:i/>
                  <w:iCs/>
                  <w:color w:val="000000"/>
                  <w:sz w:val="18"/>
                  <w:szCs w:val="18"/>
                </w:rPr>
                <w:t>P’ship</w:t>
              </w:r>
              <w:proofErr w:type="spellEnd"/>
              <w:r>
                <w:rPr>
                  <w:color w:val="000000"/>
                  <w:sz w:val="18"/>
                  <w:szCs w:val="18"/>
                </w:rPr>
                <w:t xml:space="preserve">, 564 U.S. 91, 97, 113-14, 131 </w:t>
              </w:r>
              <w:proofErr w:type="spellStart"/>
              <w:r>
                <w:rPr>
                  <w:color w:val="000000"/>
                  <w:sz w:val="18"/>
                  <w:szCs w:val="18"/>
                </w:rPr>
                <w:t>S.Ct</w:t>
              </w:r>
              <w:proofErr w:type="spellEnd"/>
              <w:r>
                <w:rPr>
                  <w:color w:val="000000"/>
                  <w:sz w:val="18"/>
                  <w:szCs w:val="18"/>
                </w:rPr>
                <w:t>. 2238, 180 L.Ed.2d 131 (2011)</w:t>
              </w:r>
            </w:hyperlink>
            <w:r>
              <w:rPr>
                <w:color w:val="000000"/>
                <w:sz w:val="18"/>
                <w:szCs w:val="18"/>
              </w:rPr>
              <w:t xml:space="preserve"> (Federal Circuit’s interpretation of Patent Act as requiring “clear evidence” of invalidity accurately stated the statutory standard of proof).</w:t>
            </w:r>
          </w:p>
          <w:p w14:paraId="10190FE0" w14:textId="77777777" w:rsidR="00793DC4" w:rsidRDefault="00793DC4">
            <w:pPr>
              <w:widowControl w:val="0"/>
              <w:autoSpaceDE w:val="0"/>
              <w:autoSpaceDN w:val="0"/>
              <w:adjustRightInd w:val="0"/>
              <w:jc w:val="both"/>
              <w:rPr>
                <w:color w:val="000000"/>
                <w:sz w:val="18"/>
                <w:szCs w:val="18"/>
              </w:rPr>
            </w:pPr>
          </w:p>
        </w:tc>
      </w:tr>
    </w:tbl>
    <w:p w14:paraId="303B3332" w14:textId="77777777" w:rsidR="00793DC4" w:rsidRDefault="00793DC4">
      <w:pPr>
        <w:widowControl w:val="0"/>
        <w:autoSpaceDE w:val="0"/>
        <w:autoSpaceDN w:val="0"/>
        <w:adjustRightInd w:val="0"/>
        <w:jc w:val="both"/>
        <w:rPr>
          <w:color w:val="000000"/>
        </w:rPr>
      </w:pPr>
    </w:p>
    <w:p w14:paraId="6A27D5EF" w14:textId="77777777" w:rsidR="00793DC4" w:rsidRDefault="00793DC4">
      <w:pPr>
        <w:widowControl w:val="0"/>
        <w:autoSpaceDE w:val="0"/>
        <w:autoSpaceDN w:val="0"/>
        <w:adjustRightInd w:val="0"/>
        <w:jc w:val="both"/>
        <w:rPr>
          <w:color w:val="000000"/>
          <w:sz w:val="16"/>
          <w:szCs w:val="16"/>
        </w:rPr>
      </w:pPr>
      <w:r>
        <w:rPr>
          <w:color w:val="000000"/>
        </w:rPr>
        <w:t>Nor must we look far to discern the meaning of “clear evidence,” as Supreme Court usage confirms that the term is synonymous with “clear and convincing evidence.”</w:t>
      </w:r>
      <w:bookmarkStart w:id="196" w:name="co_footnoteReference_B00992041287330_ID0"/>
      <w:bookmarkEnd w:id="196"/>
      <w:r>
        <w:rPr>
          <w:color w:val="000000"/>
          <w:sz w:val="16"/>
          <w:szCs w:val="16"/>
        </w:rPr>
        <w:fldChar w:fldCharType="begin"/>
      </w:r>
      <w:r>
        <w:rPr>
          <w:color w:val="000000"/>
          <w:sz w:val="16"/>
          <w:szCs w:val="16"/>
        </w:rPr>
        <w:instrText xml:space="preserve">HYPERLINK "#co_footnote_B00992041287330_1" </w:instrText>
      </w:r>
      <w:r w:rsidR="00F61700">
        <w:rPr>
          <w:color w:val="000000"/>
          <w:sz w:val="16"/>
          <w:szCs w:val="16"/>
        </w:rPr>
      </w:r>
      <w:r>
        <w:rPr>
          <w:color w:val="000000"/>
          <w:sz w:val="16"/>
          <w:szCs w:val="16"/>
        </w:rPr>
        <w:fldChar w:fldCharType="separate"/>
      </w:r>
      <w:r>
        <w:rPr>
          <w:color w:val="000000"/>
          <w:sz w:val="16"/>
          <w:szCs w:val="16"/>
          <w:vertAlign w:val="superscript"/>
        </w:rPr>
        <w:t>98</w:t>
      </w:r>
      <w:r>
        <w:rPr>
          <w:color w:val="000000"/>
          <w:sz w:val="16"/>
          <w:szCs w:val="16"/>
        </w:rPr>
        <w:fldChar w:fldCharType="end"/>
      </w:r>
      <w:r>
        <w:rPr>
          <w:color w:val="000000"/>
        </w:rPr>
        <w:t xml:space="preserve"> The latter is a well-recognized intermediate standard of proof—more demanding than preponderance of the evidence, but less demanding than </w:t>
      </w:r>
      <w:r>
        <w:rPr>
          <w:b/>
          <w:bCs/>
          <w:color w:val="000000"/>
        </w:rPr>
        <w:t>*286</w:t>
      </w:r>
      <w:r>
        <w:rPr>
          <w:color w:val="000000"/>
        </w:rPr>
        <w:t xml:space="preserve"> proof beyond a reasonable doubt. Black’s Law Dictionary defines clear and convincing evidence as “evidence indicating that the thing to be proved is highly probable or reasonably certain.”</w:t>
      </w:r>
      <w:bookmarkStart w:id="197" w:name="co_footnoteReference_B01002041287330_ID0"/>
      <w:bookmarkEnd w:id="197"/>
      <w:r>
        <w:rPr>
          <w:color w:val="000000"/>
          <w:sz w:val="16"/>
          <w:szCs w:val="16"/>
        </w:rPr>
        <w:fldChar w:fldCharType="begin"/>
      </w:r>
      <w:r>
        <w:rPr>
          <w:color w:val="000000"/>
          <w:sz w:val="16"/>
          <w:szCs w:val="16"/>
        </w:rPr>
        <w:instrText xml:space="preserve">HYPERLINK "#co_footnote_B01002041287330_1" </w:instrText>
      </w:r>
      <w:r w:rsidR="00F61700">
        <w:rPr>
          <w:color w:val="000000"/>
          <w:sz w:val="16"/>
          <w:szCs w:val="16"/>
        </w:rPr>
      </w:r>
      <w:r>
        <w:rPr>
          <w:color w:val="000000"/>
          <w:sz w:val="16"/>
          <w:szCs w:val="16"/>
        </w:rPr>
        <w:fldChar w:fldCharType="separate"/>
      </w:r>
      <w:r>
        <w:rPr>
          <w:color w:val="000000"/>
          <w:sz w:val="16"/>
          <w:szCs w:val="16"/>
          <w:vertAlign w:val="superscript"/>
        </w:rPr>
        <w:t>99</w:t>
      </w:r>
      <w:r>
        <w:rPr>
          <w:color w:val="000000"/>
          <w:sz w:val="16"/>
          <w:szCs w:val="16"/>
        </w:rPr>
        <w:fldChar w:fldCharType="end"/>
      </w:r>
      <w:r>
        <w:rPr>
          <w:color w:val="000000"/>
        </w:rPr>
        <w:t xml:space="preserve"> We adopt that definition here. It is consistent with both settled understanding and </w:t>
      </w:r>
      <w:hyperlink r:id="rId278" w:history="1">
        <w:r>
          <w:rPr>
            <w:i/>
            <w:iCs/>
            <w:color w:val="000000"/>
          </w:rPr>
          <w:t>Wyeth</w:t>
        </w:r>
        <w:r>
          <w:rPr>
            <w:color w:val="000000"/>
          </w:rPr>
          <w:t>’ s</w:t>
        </w:r>
      </w:hyperlink>
      <w:r>
        <w:rPr>
          <w:color w:val="000000"/>
        </w:rPr>
        <w:t xml:space="preserve"> instruction that the clear-evidence test is a “demanding defense” meant to represent a longstanding “presumption against pre-emption.”</w:t>
      </w:r>
      <w:bookmarkStart w:id="198" w:name="co_footnoteReference_B01012041287330_ID0"/>
      <w:bookmarkEnd w:id="198"/>
      <w:r>
        <w:rPr>
          <w:color w:val="000000"/>
          <w:sz w:val="16"/>
          <w:szCs w:val="16"/>
        </w:rPr>
        <w:fldChar w:fldCharType="begin"/>
      </w:r>
      <w:r>
        <w:rPr>
          <w:color w:val="000000"/>
          <w:sz w:val="16"/>
          <w:szCs w:val="16"/>
        </w:rPr>
        <w:instrText xml:space="preserve">HYPERLINK "#co_footnote_B01012041287330_1" </w:instrText>
      </w:r>
      <w:r w:rsidR="00F61700">
        <w:rPr>
          <w:color w:val="000000"/>
          <w:sz w:val="16"/>
          <w:szCs w:val="16"/>
        </w:rPr>
      </w:r>
      <w:r>
        <w:rPr>
          <w:color w:val="000000"/>
          <w:sz w:val="16"/>
          <w:szCs w:val="16"/>
        </w:rPr>
        <w:fldChar w:fldCharType="separate"/>
      </w:r>
      <w:r>
        <w:rPr>
          <w:color w:val="000000"/>
          <w:sz w:val="16"/>
          <w:szCs w:val="16"/>
          <w:vertAlign w:val="superscript"/>
        </w:rPr>
        <w:t>100</w:t>
      </w:r>
      <w:r>
        <w:rPr>
          <w:color w:val="000000"/>
          <w:sz w:val="16"/>
          <w:szCs w:val="16"/>
        </w:rPr>
        <w:fldChar w:fldCharType="end"/>
      </w:r>
    </w:p>
    <w:p w14:paraId="15472AB0"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699ECCA7" w14:textId="77777777">
        <w:tblPrEx>
          <w:tblCellMar>
            <w:top w:w="0" w:type="dxa"/>
            <w:left w:w="0" w:type="dxa"/>
            <w:bottom w:w="0" w:type="dxa"/>
            <w:right w:w="0" w:type="dxa"/>
          </w:tblCellMar>
        </w:tblPrEx>
        <w:tc>
          <w:tcPr>
            <w:tcW w:w="600" w:type="dxa"/>
            <w:tcBorders>
              <w:top w:val="nil"/>
              <w:left w:val="nil"/>
              <w:bottom w:val="nil"/>
              <w:right w:val="nil"/>
            </w:tcBorders>
          </w:tcPr>
          <w:bookmarkStart w:id="199" w:name="co_footnote_B00992041287330_1"/>
          <w:bookmarkEnd w:id="199"/>
          <w:p w14:paraId="663D54E3"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"#co_footnoteReference_B00992041287330_ID0" </w:instrText>
            </w:r>
            <w:r w:rsidR="00F61700">
              <w:rPr>
                <w:color w:val="000000"/>
              </w:rPr>
            </w:r>
            <w:r>
              <w:rPr>
                <w:color w:val="000000"/>
              </w:rPr>
              <w:fldChar w:fldCharType="separate"/>
            </w:r>
            <w:r>
              <w:rPr>
                <w:color w:val="000000"/>
                <w:vertAlign w:val="superscript"/>
              </w:rPr>
              <w:t>98</w:t>
            </w:r>
            <w:r>
              <w:rPr>
                <w:color w:val="000000"/>
              </w:rPr>
              <w:fldChar w:fldCharType="end"/>
            </w:r>
          </w:p>
          <w:p w14:paraId="59EE7615"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2C34F9DE" w14:textId="77777777" w:rsidR="00793DC4" w:rsidRDefault="00793DC4">
            <w:pPr>
              <w:widowControl w:val="0"/>
              <w:autoSpaceDE w:val="0"/>
              <w:autoSpaceDN w:val="0"/>
              <w:adjustRightInd w:val="0"/>
              <w:jc w:val="both"/>
              <w:rPr>
                <w:color w:val="000000"/>
                <w:sz w:val="18"/>
                <w:szCs w:val="18"/>
              </w:rPr>
            </w:pPr>
            <w:r>
              <w:rPr>
                <w:i/>
                <w:iCs/>
                <w:color w:val="000000"/>
                <w:sz w:val="18"/>
                <w:szCs w:val="18"/>
              </w:rPr>
              <w:t xml:space="preserve">See </w:t>
            </w:r>
            <w:hyperlink r:id="rId279" w:history="1">
              <w:r>
                <w:rPr>
                  <w:i/>
                  <w:iCs/>
                  <w:color w:val="000000"/>
                  <w:sz w:val="18"/>
                  <w:szCs w:val="18"/>
                </w:rPr>
                <w:t>Microsoft</w:t>
              </w:r>
              <w:r>
                <w:rPr>
                  <w:color w:val="000000"/>
                  <w:sz w:val="18"/>
                  <w:szCs w:val="18"/>
                </w:rPr>
                <w:t xml:space="preserve">, 564 U.S. at 97, 113-14, 131 </w:t>
              </w:r>
              <w:proofErr w:type="spellStart"/>
              <w:r>
                <w:rPr>
                  <w:color w:val="000000"/>
                  <w:sz w:val="18"/>
                  <w:szCs w:val="18"/>
                </w:rPr>
                <w:t>S.Ct</w:t>
              </w:r>
              <w:proofErr w:type="spellEnd"/>
              <w:r>
                <w:rPr>
                  <w:color w:val="000000"/>
                  <w:sz w:val="18"/>
                  <w:szCs w:val="18"/>
                </w:rPr>
                <w:t>. 2238</w:t>
              </w:r>
            </w:hyperlink>
            <w:r>
              <w:rPr>
                <w:color w:val="000000"/>
                <w:sz w:val="18"/>
                <w:szCs w:val="18"/>
              </w:rPr>
              <w:t xml:space="preserve"> (equating Federal Circuit’s “clear evidence” standard with “clear and convincing” standard); </w:t>
            </w:r>
            <w:hyperlink r:id="rId280" w:history="1">
              <w:r>
                <w:rPr>
                  <w:i/>
                  <w:iCs/>
                  <w:color w:val="000000"/>
                  <w:sz w:val="18"/>
                  <w:szCs w:val="18"/>
                </w:rPr>
                <w:t>Oriel</w:t>
              </w:r>
              <w:r>
                <w:rPr>
                  <w:color w:val="000000"/>
                  <w:sz w:val="18"/>
                  <w:szCs w:val="18"/>
                </w:rPr>
                <w:t xml:space="preserve">, 278 U.S. at 362-63, 49 </w:t>
              </w:r>
              <w:proofErr w:type="spellStart"/>
              <w:r>
                <w:rPr>
                  <w:color w:val="000000"/>
                  <w:sz w:val="18"/>
                  <w:szCs w:val="18"/>
                </w:rPr>
                <w:t>S.Ct</w:t>
              </w:r>
              <w:proofErr w:type="spellEnd"/>
              <w:r>
                <w:rPr>
                  <w:color w:val="000000"/>
                  <w:sz w:val="18"/>
                  <w:szCs w:val="18"/>
                </w:rPr>
                <w:t>. 173</w:t>
              </w:r>
            </w:hyperlink>
            <w:r>
              <w:rPr>
                <w:color w:val="000000"/>
                <w:sz w:val="18"/>
                <w:szCs w:val="18"/>
              </w:rPr>
              <w:t xml:space="preserve"> (equating “clear evidence” with “clear and convincing evidence”); </w:t>
            </w:r>
            <w:r>
              <w:rPr>
                <w:i/>
                <w:iCs/>
                <w:color w:val="000000"/>
                <w:sz w:val="18"/>
                <w:szCs w:val="18"/>
              </w:rPr>
              <w:t xml:space="preserve">accord </w:t>
            </w:r>
            <w:hyperlink r:id="rId281" w:history="1">
              <w:r>
                <w:rPr>
                  <w:i/>
                  <w:iCs/>
                  <w:color w:val="000000"/>
                  <w:sz w:val="18"/>
                  <w:szCs w:val="18"/>
                </w:rPr>
                <w:t>Ramsey v. United Mine Workers of Am.</w:t>
              </w:r>
              <w:r>
                <w:rPr>
                  <w:color w:val="000000"/>
                  <w:sz w:val="18"/>
                  <w:szCs w:val="18"/>
                </w:rPr>
                <w:t xml:space="preserve">, 401 U.S. 302, 307-09, 311, 91 </w:t>
              </w:r>
              <w:proofErr w:type="spellStart"/>
              <w:r>
                <w:rPr>
                  <w:color w:val="000000"/>
                  <w:sz w:val="18"/>
                  <w:szCs w:val="18"/>
                </w:rPr>
                <w:t>S.Ct</w:t>
              </w:r>
              <w:proofErr w:type="spellEnd"/>
              <w:r>
                <w:rPr>
                  <w:color w:val="000000"/>
                  <w:sz w:val="18"/>
                  <w:szCs w:val="18"/>
                </w:rPr>
                <w:t>. 658, 28 L.Ed.2d 64 (1971)</w:t>
              </w:r>
            </w:hyperlink>
            <w:r>
              <w:rPr>
                <w:color w:val="000000"/>
                <w:sz w:val="18"/>
                <w:szCs w:val="18"/>
              </w:rPr>
              <w:t xml:space="preserve"> (interpreting statute requiring “clear proof” as requiring “clear and convincing evidence”).</w:t>
            </w:r>
          </w:p>
          <w:p w14:paraId="07628541" w14:textId="77777777" w:rsidR="00793DC4" w:rsidRDefault="00793DC4">
            <w:pPr>
              <w:widowControl w:val="0"/>
              <w:autoSpaceDE w:val="0"/>
              <w:autoSpaceDN w:val="0"/>
              <w:adjustRightInd w:val="0"/>
              <w:jc w:val="both"/>
              <w:rPr>
                <w:color w:val="000000"/>
                <w:sz w:val="18"/>
                <w:szCs w:val="18"/>
              </w:rPr>
            </w:pPr>
          </w:p>
        </w:tc>
      </w:tr>
    </w:tbl>
    <w:p w14:paraId="0C1E0BCC"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5CADEC29" w14:textId="77777777">
        <w:tblPrEx>
          <w:tblCellMar>
            <w:top w:w="0" w:type="dxa"/>
            <w:left w:w="0" w:type="dxa"/>
            <w:bottom w:w="0" w:type="dxa"/>
            <w:right w:w="0" w:type="dxa"/>
          </w:tblCellMar>
        </w:tblPrEx>
        <w:tc>
          <w:tcPr>
            <w:tcW w:w="600" w:type="dxa"/>
            <w:tcBorders>
              <w:top w:val="nil"/>
              <w:left w:val="nil"/>
              <w:bottom w:val="nil"/>
              <w:right w:val="nil"/>
            </w:tcBorders>
          </w:tcPr>
          <w:bookmarkStart w:id="200" w:name="co_footnote_B01002041287330_1"/>
          <w:bookmarkEnd w:id="200"/>
          <w:p w14:paraId="77B73E83"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"#co_footnoteReference_B01002041287330_ID0" </w:instrText>
            </w:r>
            <w:r w:rsidR="00F61700">
              <w:rPr>
                <w:color w:val="000000"/>
              </w:rPr>
            </w:r>
            <w:r>
              <w:rPr>
                <w:color w:val="000000"/>
              </w:rPr>
              <w:fldChar w:fldCharType="separate"/>
            </w:r>
            <w:r>
              <w:rPr>
                <w:color w:val="000000"/>
                <w:vertAlign w:val="superscript"/>
              </w:rPr>
              <w:t>99</w:t>
            </w:r>
            <w:r>
              <w:rPr>
                <w:color w:val="000000"/>
              </w:rPr>
              <w:fldChar w:fldCharType="end"/>
            </w:r>
          </w:p>
          <w:p w14:paraId="4BE62AA4"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57FEA394" w14:textId="77777777" w:rsidR="00793DC4" w:rsidRDefault="00793DC4">
            <w:pPr>
              <w:widowControl w:val="0"/>
              <w:autoSpaceDE w:val="0"/>
              <w:autoSpaceDN w:val="0"/>
              <w:adjustRightInd w:val="0"/>
              <w:jc w:val="both"/>
              <w:rPr>
                <w:color w:val="000000"/>
                <w:sz w:val="18"/>
                <w:szCs w:val="18"/>
              </w:rPr>
            </w:pPr>
            <w:r>
              <w:rPr>
                <w:color w:val="000000"/>
                <w:sz w:val="18"/>
                <w:szCs w:val="18"/>
              </w:rPr>
              <w:t>Black’s Law Dictionary 674 (10th ed. 2009).</w:t>
            </w:r>
          </w:p>
          <w:p w14:paraId="5ED641FA" w14:textId="77777777" w:rsidR="00793DC4" w:rsidRDefault="00793DC4">
            <w:pPr>
              <w:widowControl w:val="0"/>
              <w:autoSpaceDE w:val="0"/>
              <w:autoSpaceDN w:val="0"/>
              <w:adjustRightInd w:val="0"/>
              <w:jc w:val="both"/>
              <w:rPr>
                <w:color w:val="000000"/>
                <w:sz w:val="18"/>
                <w:szCs w:val="18"/>
              </w:rPr>
            </w:pPr>
          </w:p>
        </w:tc>
      </w:tr>
    </w:tbl>
    <w:p w14:paraId="1749C0A8"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11168AAA" w14:textId="77777777">
        <w:tblPrEx>
          <w:tblCellMar>
            <w:top w:w="0" w:type="dxa"/>
            <w:left w:w="0" w:type="dxa"/>
            <w:bottom w:w="0" w:type="dxa"/>
            <w:right w:w="0" w:type="dxa"/>
          </w:tblCellMar>
        </w:tblPrEx>
        <w:tc>
          <w:tcPr>
            <w:tcW w:w="600" w:type="dxa"/>
            <w:tcBorders>
              <w:top w:val="nil"/>
              <w:left w:val="nil"/>
              <w:bottom w:val="nil"/>
              <w:right w:val="nil"/>
            </w:tcBorders>
          </w:tcPr>
          <w:bookmarkStart w:id="201" w:name="co_footnote_B01012041287330_1"/>
          <w:bookmarkEnd w:id="201"/>
          <w:p w14:paraId="0370A5C2"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"#co_footnoteReference_B01012041287330_ID0" </w:instrText>
            </w:r>
            <w:r w:rsidR="00F61700">
              <w:rPr>
                <w:color w:val="000000"/>
              </w:rPr>
            </w:r>
            <w:r>
              <w:rPr>
                <w:color w:val="000000"/>
              </w:rPr>
              <w:fldChar w:fldCharType="separate"/>
            </w:r>
            <w:r>
              <w:rPr>
                <w:color w:val="000000"/>
                <w:vertAlign w:val="superscript"/>
              </w:rPr>
              <w:t>100</w:t>
            </w:r>
            <w:r>
              <w:rPr>
                <w:color w:val="000000"/>
              </w:rPr>
              <w:fldChar w:fldCharType="end"/>
            </w:r>
          </w:p>
          <w:p w14:paraId="1393A3D9"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2201814B" w14:textId="77777777" w:rsidR="00793DC4" w:rsidRDefault="00793DC4">
            <w:pPr>
              <w:widowControl w:val="0"/>
              <w:autoSpaceDE w:val="0"/>
              <w:autoSpaceDN w:val="0"/>
              <w:adjustRightInd w:val="0"/>
              <w:jc w:val="both"/>
              <w:rPr>
                <w:color w:val="000000"/>
                <w:sz w:val="18"/>
                <w:szCs w:val="18"/>
              </w:rPr>
            </w:pPr>
            <w:hyperlink r:id="rId282" w:history="1">
              <w:r>
                <w:rPr>
                  <w:i/>
                  <w:iCs/>
                  <w:color w:val="000000"/>
                  <w:sz w:val="18"/>
                  <w:szCs w:val="18"/>
                </w:rPr>
                <w:t>Wyeth</w:t>
              </w:r>
              <w:r>
                <w:rPr>
                  <w:color w:val="000000"/>
                  <w:sz w:val="18"/>
                  <w:szCs w:val="18"/>
                </w:rPr>
                <w:t xml:space="preserve">, 555 U.S. at 571-73, 565 n.3, 129 </w:t>
              </w:r>
              <w:proofErr w:type="spellStart"/>
              <w:r>
                <w:rPr>
                  <w:color w:val="000000"/>
                  <w:sz w:val="18"/>
                  <w:szCs w:val="18"/>
                </w:rPr>
                <w:t>S.Ct</w:t>
              </w:r>
              <w:proofErr w:type="spellEnd"/>
              <w:r>
                <w:rPr>
                  <w:color w:val="000000"/>
                  <w:sz w:val="18"/>
                  <w:szCs w:val="18"/>
                </w:rPr>
                <w:t>. 1187</w:t>
              </w:r>
            </w:hyperlink>
            <w:r>
              <w:rPr>
                <w:color w:val="000000"/>
                <w:sz w:val="18"/>
                <w:szCs w:val="18"/>
              </w:rPr>
              <w:t>.</w:t>
            </w:r>
          </w:p>
          <w:p w14:paraId="2EC9DC56" w14:textId="77777777" w:rsidR="00793DC4" w:rsidRDefault="00793DC4">
            <w:pPr>
              <w:widowControl w:val="0"/>
              <w:autoSpaceDE w:val="0"/>
              <w:autoSpaceDN w:val="0"/>
              <w:adjustRightInd w:val="0"/>
              <w:jc w:val="both"/>
              <w:rPr>
                <w:color w:val="000000"/>
                <w:sz w:val="18"/>
                <w:szCs w:val="18"/>
              </w:rPr>
            </w:pPr>
          </w:p>
        </w:tc>
      </w:tr>
    </w:tbl>
    <w:p w14:paraId="28D250CF" w14:textId="77777777" w:rsidR="00793DC4" w:rsidRDefault="00793DC4">
      <w:pPr>
        <w:widowControl w:val="0"/>
        <w:autoSpaceDE w:val="0"/>
        <w:autoSpaceDN w:val="0"/>
        <w:adjustRightInd w:val="0"/>
        <w:jc w:val="both"/>
        <w:rPr>
          <w:color w:val="000000"/>
        </w:rPr>
      </w:pPr>
    </w:p>
    <w:p w14:paraId="2772DFC1" w14:textId="77777777" w:rsidR="00793DC4" w:rsidRDefault="00793DC4">
      <w:pPr>
        <w:widowControl w:val="0"/>
        <w:autoSpaceDE w:val="0"/>
        <w:autoSpaceDN w:val="0"/>
        <w:adjustRightInd w:val="0"/>
        <w:jc w:val="both"/>
        <w:rPr>
          <w:color w:val="000000"/>
        </w:rPr>
      </w:pPr>
      <w:hyperlink r:id="rId283" w:history="1">
        <w:r>
          <w:rPr>
            <w:b/>
            <w:bCs/>
            <w:color w:val="000000"/>
            <w:vertAlign w:val="superscript"/>
          </w:rPr>
          <w:t>[7]</w:t>
        </w:r>
      </w:hyperlink>
      <w:r>
        <w:rPr>
          <w:color w:val="000000"/>
        </w:rPr>
        <w:t xml:space="preserve">We therefore conclude that for a defendant to establish a preemption defense under </w:t>
      </w:r>
      <w:hyperlink r:id="rId284" w:history="1">
        <w:r>
          <w:rPr>
            <w:i/>
            <w:iCs/>
            <w:color w:val="000000"/>
          </w:rPr>
          <w:t>Wyeth</w:t>
        </w:r>
      </w:hyperlink>
      <w:r>
        <w:rPr>
          <w:color w:val="000000"/>
        </w:rPr>
        <w:t xml:space="preserve">, the </w:t>
      </w:r>
      <w:proofErr w:type="spellStart"/>
      <w:r>
        <w:rPr>
          <w:color w:val="000000"/>
        </w:rPr>
        <w:t>factfinder</w:t>
      </w:r>
      <w:proofErr w:type="spellEnd"/>
      <w:r>
        <w:rPr>
          <w:color w:val="000000"/>
        </w:rPr>
        <w:t xml:space="preserve"> must conclude that it is highly probable that the FDA would not have approved a change to the drug’s label.</w:t>
      </w:r>
    </w:p>
    <w:p w14:paraId="7CFEBEAF" w14:textId="77777777" w:rsidR="00793DC4" w:rsidRDefault="00793DC4">
      <w:pPr>
        <w:widowControl w:val="0"/>
        <w:autoSpaceDE w:val="0"/>
        <w:autoSpaceDN w:val="0"/>
        <w:adjustRightInd w:val="0"/>
        <w:jc w:val="both"/>
        <w:rPr>
          <w:color w:val="000000"/>
        </w:rPr>
      </w:pPr>
      <w:r>
        <w:rPr>
          <w:color w:val="000000"/>
        </w:rPr>
        <w:t> </w:t>
      </w:r>
    </w:p>
    <w:p w14:paraId="53E63C07" w14:textId="77777777" w:rsidR="00793DC4" w:rsidRDefault="00793DC4">
      <w:pPr>
        <w:widowControl w:val="0"/>
        <w:autoSpaceDE w:val="0"/>
        <w:autoSpaceDN w:val="0"/>
        <w:adjustRightInd w:val="0"/>
        <w:spacing w:before="400" w:after="200"/>
        <w:jc w:val="center"/>
        <w:rPr>
          <w:b/>
          <w:bCs/>
          <w:color w:val="000000"/>
        </w:rPr>
      </w:pPr>
      <w:r>
        <w:rPr>
          <w:b/>
          <w:bCs/>
          <w:color w:val="000000"/>
        </w:rPr>
        <w:t>C. Whether the FDA Would Have Rejected a Label Change is a Question of Fact for the Jury</w:t>
      </w:r>
    </w:p>
    <w:p w14:paraId="4299CD82" w14:textId="77777777" w:rsidR="00793DC4" w:rsidRDefault="00793DC4">
      <w:pPr>
        <w:widowControl w:val="0"/>
        <w:autoSpaceDE w:val="0"/>
        <w:autoSpaceDN w:val="0"/>
        <w:adjustRightInd w:val="0"/>
        <w:jc w:val="both"/>
        <w:rPr>
          <w:color w:val="000000"/>
        </w:rPr>
      </w:pPr>
      <w:r>
        <w:rPr>
          <w:color w:val="000000"/>
        </w:rPr>
        <w:t xml:space="preserve">Once “clear evidence” is understood as a standard of proof rather than a condition on the type of facts to be proven, the </w:t>
      </w:r>
      <w:hyperlink r:id="rId285" w:history="1">
        <w:r>
          <w:rPr>
            <w:i/>
            <w:iCs/>
            <w:color w:val="000000"/>
          </w:rPr>
          <w:t>Wyeth</w:t>
        </w:r>
      </w:hyperlink>
      <w:r>
        <w:rPr>
          <w:color w:val="000000"/>
        </w:rPr>
        <w:t xml:space="preserve"> test narrows to a single inquiry: would the FDA have approved the label change that Plaintiffs argue was required?</w:t>
      </w:r>
    </w:p>
    <w:p w14:paraId="216DBC76" w14:textId="77777777" w:rsidR="00793DC4" w:rsidRDefault="00793DC4">
      <w:pPr>
        <w:widowControl w:val="0"/>
        <w:autoSpaceDE w:val="0"/>
        <w:autoSpaceDN w:val="0"/>
        <w:adjustRightInd w:val="0"/>
        <w:jc w:val="both"/>
        <w:rPr>
          <w:color w:val="000000"/>
        </w:rPr>
      </w:pPr>
      <w:r>
        <w:rPr>
          <w:color w:val="000000"/>
        </w:rPr>
        <w:t> </w:t>
      </w:r>
    </w:p>
    <w:p w14:paraId="09E3B23E" w14:textId="77777777" w:rsidR="00793DC4" w:rsidRDefault="00793DC4">
      <w:pPr>
        <w:widowControl w:val="0"/>
        <w:autoSpaceDE w:val="0"/>
        <w:autoSpaceDN w:val="0"/>
        <w:adjustRightInd w:val="0"/>
        <w:jc w:val="both"/>
        <w:rPr>
          <w:color w:val="000000"/>
        </w:rPr>
      </w:pPr>
      <w:hyperlink r:id="rId286" w:history="1">
        <w:r>
          <w:rPr>
            <w:b/>
            <w:bCs/>
            <w:color w:val="000000"/>
            <w:vertAlign w:val="superscript"/>
          </w:rPr>
          <w:t>[8]</w:t>
        </w:r>
      </w:hyperlink>
      <w:r>
        <w:rPr>
          <w:color w:val="000000"/>
        </w:rPr>
        <w:t xml:space="preserve">Oral argument in this case revealed a fundamental yet unexplored disagreement between the parties. </w:t>
      </w:r>
      <w:r w:rsidRPr="00DD3B65">
        <w:rPr>
          <w:color w:val="000000"/>
          <w:highlight w:val="yellow"/>
        </w:rPr>
        <w:t xml:space="preserve">Merck claimed that the </w:t>
      </w:r>
      <w:hyperlink r:id="rId287" w:history="1">
        <w:r w:rsidRPr="00DD3B65">
          <w:rPr>
            <w:i/>
            <w:iCs/>
            <w:color w:val="000000"/>
            <w:highlight w:val="yellow"/>
          </w:rPr>
          <w:t>Wyeth</w:t>
        </w:r>
      </w:hyperlink>
      <w:r w:rsidRPr="00DD3B65">
        <w:rPr>
          <w:color w:val="000000"/>
          <w:highlight w:val="yellow"/>
        </w:rPr>
        <w:t xml:space="preserve"> preemption test presents a pure question of law that must be decided by a court, not a jury.</w:t>
      </w:r>
      <w:r>
        <w:rPr>
          <w:color w:val="000000"/>
        </w:rPr>
        <w:t xml:space="preserve"> Plaintiffs argued that </w:t>
      </w:r>
      <w:hyperlink r:id="rId288" w:history="1">
        <w:r>
          <w:rPr>
            <w:i/>
            <w:iCs/>
            <w:color w:val="000000"/>
          </w:rPr>
          <w:t>Wyeth</w:t>
        </w:r>
      </w:hyperlink>
      <w:r>
        <w:rPr>
          <w:color w:val="000000"/>
        </w:rPr>
        <w:t xml:space="preserve"> preemption poses a </w:t>
      </w:r>
      <w:r w:rsidRPr="00DD3B65">
        <w:rPr>
          <w:color w:val="000000"/>
          <w:highlight w:val="yellow"/>
        </w:rPr>
        <w:t xml:space="preserve">mixed question of fact and law that may require jury </w:t>
      </w:r>
      <w:proofErr w:type="spellStart"/>
      <w:r w:rsidRPr="00DD3B65">
        <w:rPr>
          <w:color w:val="000000"/>
          <w:highlight w:val="yellow"/>
        </w:rPr>
        <w:t>factfinding</w:t>
      </w:r>
      <w:proofErr w:type="spellEnd"/>
      <w:r w:rsidRPr="00DD3B65">
        <w:rPr>
          <w:color w:val="000000"/>
          <w:highlight w:val="yellow"/>
        </w:rPr>
        <w:t xml:space="preserve"> in appropriate circumstances</w:t>
      </w:r>
      <w:r>
        <w:rPr>
          <w:color w:val="000000"/>
        </w:rPr>
        <w:t xml:space="preserve">. The distinction is crucial in this case because it dictates the course of our summary judgment analysis. If the question of whether the FDA would have rejected Plaintiffs’ proposed warning is a question of law for the court, then we may simply answer it ourselves; but if it is a question of fact for the jury, then we must instead attempt to anticipate the range of answers that could be given by reasonable jurors applying the clear evidence standard and then determine whether summary judgment is appropriate. Having reviewed the case law and the parties’ supplemental briefing on the issue, </w:t>
      </w:r>
      <w:r w:rsidRPr="00DD3B65">
        <w:rPr>
          <w:color w:val="000000"/>
          <w:highlight w:val="yellow"/>
        </w:rPr>
        <w:t>we conclude that the question of whether the FDA would have rejected a proposed label change is a question of fact that must be answered by a jury.</w:t>
      </w:r>
      <w:bookmarkStart w:id="202" w:name="co_footnoteReference_B01022041287330_ID0"/>
      <w:bookmarkEnd w:id="202"/>
      <w:r>
        <w:rPr>
          <w:color w:val="000000"/>
          <w:sz w:val="16"/>
          <w:szCs w:val="16"/>
        </w:rPr>
        <w:fldChar w:fldCharType="begin"/>
      </w:r>
      <w:r>
        <w:rPr>
          <w:color w:val="000000"/>
          <w:sz w:val="16"/>
          <w:szCs w:val="16"/>
        </w:rPr>
        <w:instrText xml:space="preserve">HYPERLINK "#co_footnote_B01022041287330_1" </w:instrText>
      </w:r>
      <w:r w:rsidR="00F61700">
        <w:rPr>
          <w:color w:val="000000"/>
          <w:sz w:val="16"/>
          <w:szCs w:val="16"/>
        </w:rPr>
      </w:r>
      <w:r>
        <w:rPr>
          <w:color w:val="000000"/>
          <w:sz w:val="16"/>
          <w:szCs w:val="16"/>
        </w:rPr>
        <w:fldChar w:fldCharType="separate"/>
      </w:r>
      <w:r>
        <w:rPr>
          <w:color w:val="000000"/>
          <w:sz w:val="16"/>
          <w:szCs w:val="16"/>
          <w:vertAlign w:val="superscript"/>
        </w:rPr>
        <w:t>101</w:t>
      </w:r>
      <w:r>
        <w:rPr>
          <w:color w:val="000000"/>
          <w:sz w:val="16"/>
          <w:szCs w:val="16"/>
        </w:rPr>
        <w:fldChar w:fldCharType="end"/>
      </w:r>
      <w:r>
        <w:rPr>
          <w:color w:val="000000"/>
        </w:rPr>
        <w:t xml:space="preserve"> </w:t>
      </w:r>
      <w:r w:rsidRPr="00DD3B65">
        <w:rPr>
          <w:color w:val="000000"/>
          <w:highlight w:val="yellow"/>
        </w:rPr>
        <w:t>The court’s role at the summary judgment stage is therefore limited to determining whether there are genuine issues of material fact that preclude judgment as a matter of law</w:t>
      </w:r>
      <w:r>
        <w:rPr>
          <w:color w:val="000000"/>
        </w:rPr>
        <w:t>.</w:t>
      </w:r>
    </w:p>
    <w:p w14:paraId="7F39B0EA"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57F1E713" w14:textId="77777777">
        <w:tblPrEx>
          <w:tblCellMar>
            <w:top w:w="0" w:type="dxa"/>
            <w:left w:w="0" w:type="dxa"/>
            <w:bottom w:w="0" w:type="dxa"/>
            <w:right w:w="0" w:type="dxa"/>
          </w:tblCellMar>
        </w:tblPrEx>
        <w:tc>
          <w:tcPr>
            <w:tcW w:w="600" w:type="dxa"/>
            <w:tcBorders>
              <w:top w:val="nil"/>
              <w:left w:val="nil"/>
              <w:bottom w:val="nil"/>
              <w:right w:val="nil"/>
            </w:tcBorders>
          </w:tcPr>
          <w:bookmarkStart w:id="203" w:name="co_footnote_B01022041287330_1"/>
          <w:bookmarkEnd w:id="203"/>
          <w:p w14:paraId="6344EA48"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"#co_footnoteReference_B01022041287330_ID0" </w:instrText>
            </w:r>
            <w:r w:rsidR="00F61700">
              <w:rPr>
                <w:color w:val="000000"/>
              </w:rPr>
            </w:r>
            <w:r>
              <w:rPr>
                <w:color w:val="000000"/>
              </w:rPr>
              <w:fldChar w:fldCharType="separate"/>
            </w:r>
            <w:r>
              <w:rPr>
                <w:color w:val="000000"/>
                <w:vertAlign w:val="superscript"/>
              </w:rPr>
              <w:t>101</w:t>
            </w:r>
            <w:r>
              <w:rPr>
                <w:color w:val="000000"/>
              </w:rPr>
              <w:fldChar w:fldCharType="end"/>
            </w:r>
          </w:p>
          <w:p w14:paraId="65DCADF0"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5E09AB99" w14:textId="77777777" w:rsidR="00793DC4" w:rsidRDefault="00793DC4">
            <w:pPr>
              <w:widowControl w:val="0"/>
              <w:autoSpaceDE w:val="0"/>
              <w:autoSpaceDN w:val="0"/>
              <w:adjustRightInd w:val="0"/>
              <w:jc w:val="both"/>
              <w:rPr>
                <w:color w:val="000000"/>
                <w:sz w:val="18"/>
                <w:szCs w:val="18"/>
              </w:rPr>
            </w:pPr>
            <w:r>
              <w:rPr>
                <w:color w:val="000000"/>
                <w:sz w:val="18"/>
                <w:szCs w:val="18"/>
              </w:rPr>
              <w:t xml:space="preserve">Our discussion of the allocation of decision-making authority, both here and elsewhere in this Opinion, applies in cases tried to a jury. In a bench trial, of course, judicial </w:t>
            </w:r>
            <w:proofErr w:type="spellStart"/>
            <w:r>
              <w:rPr>
                <w:color w:val="000000"/>
                <w:sz w:val="18"/>
                <w:szCs w:val="18"/>
              </w:rPr>
              <w:t>factfinding</w:t>
            </w:r>
            <w:proofErr w:type="spellEnd"/>
            <w:r>
              <w:rPr>
                <w:color w:val="000000"/>
                <w:sz w:val="18"/>
                <w:szCs w:val="18"/>
              </w:rPr>
              <w:t xml:space="preserve"> will be both appropriate and necessary.</w:t>
            </w:r>
          </w:p>
          <w:p w14:paraId="3408FD80" w14:textId="77777777" w:rsidR="00793DC4" w:rsidRDefault="00793DC4">
            <w:pPr>
              <w:widowControl w:val="0"/>
              <w:autoSpaceDE w:val="0"/>
              <w:autoSpaceDN w:val="0"/>
              <w:adjustRightInd w:val="0"/>
              <w:jc w:val="both"/>
              <w:rPr>
                <w:color w:val="000000"/>
                <w:sz w:val="18"/>
                <w:szCs w:val="18"/>
              </w:rPr>
            </w:pPr>
          </w:p>
        </w:tc>
      </w:tr>
    </w:tbl>
    <w:p w14:paraId="763A99FE" w14:textId="77777777" w:rsidR="00793DC4" w:rsidRDefault="00793DC4">
      <w:pPr>
        <w:widowControl w:val="0"/>
        <w:autoSpaceDE w:val="0"/>
        <w:autoSpaceDN w:val="0"/>
        <w:adjustRightInd w:val="0"/>
        <w:jc w:val="both"/>
        <w:rPr>
          <w:color w:val="000000"/>
        </w:rPr>
      </w:pPr>
    </w:p>
    <w:p w14:paraId="41329A29" w14:textId="77777777" w:rsidR="00793DC4" w:rsidRDefault="00793DC4">
      <w:pPr>
        <w:widowControl w:val="0"/>
        <w:autoSpaceDE w:val="0"/>
        <w:autoSpaceDN w:val="0"/>
        <w:adjustRightInd w:val="0"/>
        <w:spacing w:before="400" w:after="200"/>
        <w:jc w:val="center"/>
        <w:rPr>
          <w:color w:val="000000"/>
          <w:u w:val="single"/>
        </w:rPr>
      </w:pPr>
      <w:proofErr w:type="spellStart"/>
      <w:r>
        <w:rPr>
          <w:color w:val="000000"/>
        </w:rPr>
        <w:t>i</w:t>
      </w:r>
      <w:proofErr w:type="spellEnd"/>
      <w:r>
        <w:rPr>
          <w:color w:val="000000"/>
        </w:rPr>
        <w:t xml:space="preserve">. </w:t>
      </w:r>
      <w:r>
        <w:rPr>
          <w:color w:val="000000"/>
          <w:u w:val="single"/>
        </w:rPr>
        <w:t>Conflict Preemption Can Require Fact Determinations by a Jury</w:t>
      </w:r>
    </w:p>
    <w:p w14:paraId="4D50FE85" w14:textId="77777777" w:rsidR="00793DC4" w:rsidRDefault="00793DC4">
      <w:pPr>
        <w:widowControl w:val="0"/>
        <w:autoSpaceDE w:val="0"/>
        <w:autoSpaceDN w:val="0"/>
        <w:adjustRightInd w:val="0"/>
        <w:jc w:val="both"/>
        <w:rPr>
          <w:color w:val="000000"/>
        </w:rPr>
      </w:pPr>
      <w:r>
        <w:rPr>
          <w:color w:val="000000"/>
        </w:rPr>
        <w:t xml:space="preserve">Merck makes two general, threshold arguments in favor of treating </w:t>
      </w:r>
      <w:hyperlink r:id="rId289" w:history="1">
        <w:r>
          <w:rPr>
            <w:i/>
            <w:iCs/>
            <w:color w:val="000000"/>
          </w:rPr>
          <w:t>Wyeth</w:t>
        </w:r>
      </w:hyperlink>
      <w:r>
        <w:rPr>
          <w:color w:val="000000"/>
        </w:rPr>
        <w:t xml:space="preserve"> preemption as a purely legal question to be answered by the court.</w:t>
      </w:r>
    </w:p>
    <w:p w14:paraId="3741162C" w14:textId="77777777" w:rsidR="00793DC4" w:rsidRDefault="00793DC4">
      <w:pPr>
        <w:widowControl w:val="0"/>
        <w:autoSpaceDE w:val="0"/>
        <w:autoSpaceDN w:val="0"/>
        <w:adjustRightInd w:val="0"/>
        <w:jc w:val="both"/>
        <w:rPr>
          <w:color w:val="000000"/>
        </w:rPr>
      </w:pPr>
      <w:r>
        <w:rPr>
          <w:color w:val="000000"/>
        </w:rPr>
        <w:t> </w:t>
      </w:r>
    </w:p>
    <w:p w14:paraId="56FC785D" w14:textId="77777777" w:rsidR="00793DC4" w:rsidRDefault="00793DC4">
      <w:pPr>
        <w:widowControl w:val="0"/>
        <w:autoSpaceDE w:val="0"/>
        <w:autoSpaceDN w:val="0"/>
        <w:adjustRightInd w:val="0"/>
        <w:jc w:val="both"/>
        <w:rPr>
          <w:color w:val="000000"/>
        </w:rPr>
      </w:pPr>
      <w:r>
        <w:rPr>
          <w:b/>
          <w:bCs/>
          <w:i/>
          <w:iCs/>
          <w:color w:val="000000"/>
        </w:rPr>
        <w:t>First</w:t>
      </w:r>
      <w:r>
        <w:rPr>
          <w:color w:val="000000"/>
        </w:rPr>
        <w:t xml:space="preserve">, Merck notes that the vast majority of courts applying </w:t>
      </w:r>
      <w:hyperlink r:id="rId290" w:history="1">
        <w:r>
          <w:rPr>
            <w:i/>
            <w:iCs/>
            <w:color w:val="000000"/>
          </w:rPr>
          <w:t>Wyeth</w:t>
        </w:r>
      </w:hyperlink>
      <w:r>
        <w:rPr>
          <w:color w:val="000000"/>
        </w:rPr>
        <w:t xml:space="preserve"> have assumed, either explicitly or implicitly, that </w:t>
      </w:r>
      <w:hyperlink r:id="rId291" w:history="1">
        <w:r>
          <w:rPr>
            <w:i/>
            <w:iCs/>
            <w:color w:val="000000"/>
          </w:rPr>
          <w:t>Wyeth</w:t>
        </w:r>
      </w:hyperlink>
      <w:r>
        <w:rPr>
          <w:color w:val="000000"/>
        </w:rPr>
        <w:t xml:space="preserve"> preemption presents a question of law. This observation is only somewhat accurate and wholly unpersuasive.</w:t>
      </w:r>
    </w:p>
    <w:p w14:paraId="2EA27495" w14:textId="77777777" w:rsidR="00793DC4" w:rsidRDefault="00793DC4">
      <w:pPr>
        <w:widowControl w:val="0"/>
        <w:autoSpaceDE w:val="0"/>
        <w:autoSpaceDN w:val="0"/>
        <w:adjustRightInd w:val="0"/>
        <w:jc w:val="both"/>
        <w:rPr>
          <w:color w:val="000000"/>
        </w:rPr>
      </w:pPr>
      <w:r>
        <w:rPr>
          <w:color w:val="000000"/>
        </w:rPr>
        <w:t> </w:t>
      </w:r>
    </w:p>
    <w:p w14:paraId="295F4814" w14:textId="77777777" w:rsidR="00793DC4" w:rsidRDefault="00793DC4">
      <w:pPr>
        <w:widowControl w:val="0"/>
        <w:autoSpaceDE w:val="0"/>
        <w:autoSpaceDN w:val="0"/>
        <w:adjustRightInd w:val="0"/>
        <w:jc w:val="both"/>
        <w:rPr>
          <w:color w:val="000000"/>
          <w:sz w:val="16"/>
          <w:szCs w:val="16"/>
        </w:rPr>
      </w:pPr>
      <w:hyperlink r:id="rId292" w:history="1">
        <w:r>
          <w:rPr>
            <w:i/>
            <w:iCs/>
            <w:color w:val="000000"/>
          </w:rPr>
          <w:t>Wyeth</w:t>
        </w:r>
      </w:hyperlink>
      <w:r>
        <w:rPr>
          <w:color w:val="000000"/>
        </w:rPr>
        <w:t xml:space="preserve"> does not indicate whether the “clear evidence” test poses a legal or factual question. Nor is it possible to divine a clear answer from the Supreme Court’s application of the test in </w:t>
      </w:r>
      <w:hyperlink r:id="rId293" w:history="1">
        <w:r>
          <w:rPr>
            <w:i/>
            <w:iCs/>
            <w:color w:val="000000"/>
          </w:rPr>
          <w:t>Wyeth</w:t>
        </w:r>
      </w:hyperlink>
      <w:r>
        <w:rPr>
          <w:color w:val="000000"/>
        </w:rPr>
        <w:t xml:space="preserve"> itself.</w:t>
      </w:r>
      <w:bookmarkStart w:id="204" w:name="co_footnoteReference_B01032041287330_ID0"/>
      <w:bookmarkEnd w:id="204"/>
      <w:r>
        <w:rPr>
          <w:color w:val="000000"/>
          <w:sz w:val="16"/>
          <w:szCs w:val="16"/>
        </w:rPr>
        <w:fldChar w:fldCharType="begin"/>
      </w:r>
      <w:r>
        <w:rPr>
          <w:color w:val="000000"/>
          <w:sz w:val="16"/>
          <w:szCs w:val="16"/>
        </w:rPr>
        <w:instrText xml:space="preserve">HYPERLINK "#co_footnote_B01032041287330_1" </w:instrText>
      </w:r>
      <w:r w:rsidR="00F61700">
        <w:rPr>
          <w:color w:val="000000"/>
          <w:sz w:val="16"/>
          <w:szCs w:val="16"/>
        </w:rPr>
      </w:r>
      <w:r>
        <w:rPr>
          <w:color w:val="000000"/>
          <w:sz w:val="16"/>
          <w:szCs w:val="16"/>
        </w:rPr>
        <w:fldChar w:fldCharType="separate"/>
      </w:r>
      <w:r>
        <w:rPr>
          <w:color w:val="000000"/>
          <w:sz w:val="16"/>
          <w:szCs w:val="16"/>
          <w:vertAlign w:val="superscript"/>
        </w:rPr>
        <w:t>102</w:t>
      </w:r>
      <w:r>
        <w:rPr>
          <w:color w:val="000000"/>
          <w:sz w:val="16"/>
          <w:szCs w:val="16"/>
        </w:rPr>
        <w:fldChar w:fldCharType="end"/>
      </w:r>
      <w:r>
        <w:rPr>
          <w:color w:val="000000"/>
        </w:rPr>
        <w:t xml:space="preserve"> </w:t>
      </w:r>
      <w:r>
        <w:rPr>
          <w:b/>
          <w:bCs/>
          <w:color w:val="000000"/>
        </w:rPr>
        <w:t>*287</w:t>
      </w:r>
      <w:r>
        <w:rPr>
          <w:color w:val="000000"/>
        </w:rPr>
        <w:t xml:space="preserve"> </w:t>
      </w:r>
      <w:proofErr w:type="gramStart"/>
      <w:r>
        <w:rPr>
          <w:color w:val="000000"/>
        </w:rPr>
        <w:t>However</w:t>
      </w:r>
      <w:proofErr w:type="gramEnd"/>
      <w:r>
        <w:rPr>
          <w:color w:val="000000"/>
        </w:rPr>
        <w:t xml:space="preserve">, the Supreme Court did decide that the evidence presented in </w:t>
      </w:r>
      <w:hyperlink r:id="rId294" w:history="1">
        <w:r>
          <w:rPr>
            <w:i/>
            <w:iCs/>
            <w:color w:val="000000"/>
          </w:rPr>
          <w:t>Wyeth</w:t>
        </w:r>
      </w:hyperlink>
      <w:r>
        <w:rPr>
          <w:color w:val="000000"/>
        </w:rPr>
        <w:t xml:space="preserve"> was not sufficient to pass the clear evidence test. Therefore, in light of the Court’s definitive holding that the evidence in </w:t>
      </w:r>
      <w:hyperlink r:id="rId295" w:history="1">
        <w:r>
          <w:rPr>
            <w:i/>
            <w:iCs/>
            <w:color w:val="000000"/>
          </w:rPr>
          <w:t>Wyeth</w:t>
        </w:r>
      </w:hyperlink>
      <w:r>
        <w:rPr>
          <w:color w:val="000000"/>
        </w:rPr>
        <w:t xml:space="preserve"> did not pass muster, the many federal courts that have applied the </w:t>
      </w:r>
      <w:hyperlink r:id="rId296" w:history="1">
        <w:r>
          <w:rPr>
            <w:i/>
            <w:iCs/>
            <w:color w:val="000000"/>
          </w:rPr>
          <w:t>Wyeth</w:t>
        </w:r>
      </w:hyperlink>
      <w:r>
        <w:rPr>
          <w:color w:val="000000"/>
        </w:rPr>
        <w:t xml:space="preserve"> preemption test have simply compared the evidence presented in their cases to the evidence presented in </w:t>
      </w:r>
      <w:hyperlink r:id="rId297" w:history="1">
        <w:r>
          <w:rPr>
            <w:i/>
            <w:iCs/>
            <w:color w:val="000000"/>
          </w:rPr>
          <w:t>Wyeth</w:t>
        </w:r>
      </w:hyperlink>
      <w:r>
        <w:rPr>
          <w:color w:val="000000"/>
        </w:rPr>
        <w:t xml:space="preserve">. For example, in </w:t>
      </w:r>
      <w:hyperlink r:id="rId298" w:history="1">
        <w:r>
          <w:rPr>
            <w:i/>
            <w:iCs/>
            <w:color w:val="000000"/>
          </w:rPr>
          <w:t>Mason v. SmithKline Beecham Corp</w:t>
        </w:r>
        <w:r>
          <w:rPr>
            <w:color w:val="000000"/>
          </w:rPr>
          <w:t>.,</w:t>
        </w:r>
      </w:hyperlink>
      <w:r>
        <w:rPr>
          <w:color w:val="000000"/>
        </w:rPr>
        <w:t xml:space="preserve"> the Seventh Circuit walked through the record evidence and concluded that, “in light of the extensive showing required by [</w:t>
      </w:r>
      <w:hyperlink r:id="rId299" w:history="1">
        <w:r>
          <w:rPr>
            <w:i/>
            <w:iCs/>
            <w:color w:val="000000"/>
          </w:rPr>
          <w:t>Wyeth</w:t>
        </w:r>
      </w:hyperlink>
      <w:r>
        <w:rPr>
          <w:color w:val="000000"/>
        </w:rPr>
        <w:t>],” the manufacturer “did not meet its burden of demonstrating by clear evidence that the FDA would have rejected a label change.”</w:t>
      </w:r>
      <w:bookmarkStart w:id="205" w:name="co_footnoteReference_B01042041287330_ID0"/>
      <w:bookmarkEnd w:id="205"/>
      <w:r>
        <w:rPr>
          <w:color w:val="000000"/>
          <w:sz w:val="16"/>
          <w:szCs w:val="16"/>
        </w:rPr>
        <w:fldChar w:fldCharType="begin"/>
      </w:r>
      <w:r>
        <w:rPr>
          <w:color w:val="000000"/>
          <w:sz w:val="16"/>
          <w:szCs w:val="16"/>
        </w:rPr>
        <w:instrText xml:space="preserve">HYPERLINK "#co_footnote_B01042041287330_1" </w:instrText>
      </w:r>
      <w:r w:rsidR="00F61700">
        <w:rPr>
          <w:color w:val="000000"/>
          <w:sz w:val="16"/>
          <w:szCs w:val="16"/>
        </w:rPr>
      </w:r>
      <w:r>
        <w:rPr>
          <w:color w:val="000000"/>
          <w:sz w:val="16"/>
          <w:szCs w:val="16"/>
        </w:rPr>
        <w:fldChar w:fldCharType="separate"/>
      </w:r>
      <w:r>
        <w:rPr>
          <w:color w:val="000000"/>
          <w:sz w:val="16"/>
          <w:szCs w:val="16"/>
          <w:vertAlign w:val="superscript"/>
        </w:rPr>
        <w:t>103</w:t>
      </w:r>
      <w:r>
        <w:rPr>
          <w:color w:val="000000"/>
          <w:sz w:val="16"/>
          <w:szCs w:val="16"/>
        </w:rPr>
        <w:fldChar w:fldCharType="end"/>
      </w:r>
      <w:r>
        <w:rPr>
          <w:color w:val="000000"/>
        </w:rPr>
        <w:t xml:space="preserve"> The Ninth Circuit took a similar approach in </w:t>
      </w:r>
      <w:hyperlink r:id="rId300" w:history="1">
        <w:r>
          <w:rPr>
            <w:i/>
            <w:iCs/>
            <w:color w:val="000000"/>
          </w:rPr>
          <w:t xml:space="preserve">Gaeta v. </w:t>
        </w:r>
        <w:proofErr w:type="spellStart"/>
        <w:r>
          <w:rPr>
            <w:i/>
            <w:iCs/>
            <w:color w:val="000000"/>
          </w:rPr>
          <w:t>Perrigo</w:t>
        </w:r>
        <w:proofErr w:type="spellEnd"/>
        <w:r>
          <w:rPr>
            <w:i/>
            <w:iCs/>
            <w:color w:val="000000"/>
          </w:rPr>
          <w:t xml:space="preserve"> Pharmaceuticals Co</w:t>
        </w:r>
        <w:r>
          <w:rPr>
            <w:color w:val="000000"/>
          </w:rPr>
          <w:t>.,</w:t>
        </w:r>
      </w:hyperlink>
      <w:r>
        <w:rPr>
          <w:color w:val="000000"/>
        </w:rPr>
        <w:t xml:space="preserve"> and explicitly stated that since “the only guidance this court has is that the evidence presented in [</w:t>
      </w:r>
      <w:hyperlink r:id="rId301" w:history="1">
        <w:r>
          <w:rPr>
            <w:i/>
            <w:iCs/>
            <w:color w:val="000000"/>
          </w:rPr>
          <w:t>Wyeth</w:t>
        </w:r>
      </w:hyperlink>
      <w:r>
        <w:rPr>
          <w:color w:val="000000"/>
        </w:rPr>
        <w:t>] was insufficient to meet the clear evidence standard,” the manufacturer would not meet the clear evidence standard if the “evidence in this case [is] less compelling than [that] in [</w:t>
      </w:r>
      <w:hyperlink r:id="rId302" w:history="1">
        <w:r>
          <w:rPr>
            <w:i/>
            <w:iCs/>
            <w:color w:val="000000"/>
          </w:rPr>
          <w:t>Wyeth</w:t>
        </w:r>
      </w:hyperlink>
      <w:r>
        <w:rPr>
          <w:color w:val="000000"/>
        </w:rPr>
        <w:t>].”</w:t>
      </w:r>
      <w:bookmarkStart w:id="206" w:name="co_footnoteReference_B01052041287330_ID0"/>
      <w:bookmarkEnd w:id="206"/>
      <w:r>
        <w:rPr>
          <w:color w:val="000000"/>
          <w:sz w:val="16"/>
          <w:szCs w:val="16"/>
        </w:rPr>
        <w:fldChar w:fldCharType="begin"/>
      </w:r>
      <w:r>
        <w:rPr>
          <w:color w:val="000000"/>
          <w:sz w:val="16"/>
          <w:szCs w:val="16"/>
        </w:rPr>
        <w:instrText xml:space="preserve">HYPERLINK "#co_footnote_B01052041287330_1" </w:instrText>
      </w:r>
      <w:r w:rsidR="00F61700">
        <w:rPr>
          <w:color w:val="000000"/>
          <w:sz w:val="16"/>
          <w:szCs w:val="16"/>
        </w:rPr>
      </w:r>
      <w:r>
        <w:rPr>
          <w:color w:val="000000"/>
          <w:sz w:val="16"/>
          <w:szCs w:val="16"/>
        </w:rPr>
        <w:fldChar w:fldCharType="separate"/>
      </w:r>
      <w:r>
        <w:rPr>
          <w:color w:val="000000"/>
          <w:sz w:val="16"/>
          <w:szCs w:val="16"/>
          <w:vertAlign w:val="superscript"/>
        </w:rPr>
        <w:t>104</w:t>
      </w:r>
      <w:r>
        <w:rPr>
          <w:color w:val="000000"/>
          <w:sz w:val="16"/>
          <w:szCs w:val="16"/>
        </w:rPr>
        <w:fldChar w:fldCharType="end"/>
      </w:r>
      <w:r>
        <w:rPr>
          <w:color w:val="000000"/>
        </w:rPr>
        <w:t xml:space="preserve"> Many other circuits have followed this approach and have found no preemption because the evidence in those cases fell short of the record in </w:t>
      </w:r>
      <w:hyperlink r:id="rId303" w:history="1">
        <w:r>
          <w:rPr>
            <w:i/>
            <w:iCs/>
            <w:color w:val="000000"/>
          </w:rPr>
          <w:t>Wyeth</w:t>
        </w:r>
      </w:hyperlink>
      <w:r>
        <w:rPr>
          <w:color w:val="000000"/>
        </w:rPr>
        <w:t>.</w:t>
      </w:r>
      <w:bookmarkStart w:id="207" w:name="co_footnoteReference_B01062041287330_ID0"/>
      <w:bookmarkEnd w:id="207"/>
      <w:r>
        <w:rPr>
          <w:color w:val="000000"/>
          <w:sz w:val="16"/>
          <w:szCs w:val="16"/>
        </w:rPr>
        <w:fldChar w:fldCharType="begin"/>
      </w:r>
      <w:r>
        <w:rPr>
          <w:color w:val="000000"/>
          <w:sz w:val="16"/>
          <w:szCs w:val="16"/>
        </w:rPr>
        <w:instrText xml:space="preserve">HYPERLINK "#co_footnote_B01062041287330_1" </w:instrText>
      </w:r>
      <w:r w:rsidR="00F61700">
        <w:rPr>
          <w:color w:val="000000"/>
          <w:sz w:val="16"/>
          <w:szCs w:val="16"/>
        </w:rPr>
      </w:r>
      <w:r>
        <w:rPr>
          <w:color w:val="000000"/>
          <w:sz w:val="16"/>
          <w:szCs w:val="16"/>
        </w:rPr>
        <w:fldChar w:fldCharType="separate"/>
      </w:r>
      <w:r>
        <w:rPr>
          <w:color w:val="000000"/>
          <w:sz w:val="16"/>
          <w:szCs w:val="16"/>
          <w:vertAlign w:val="superscript"/>
        </w:rPr>
        <w:t>105</w:t>
      </w:r>
      <w:r>
        <w:rPr>
          <w:color w:val="000000"/>
          <w:sz w:val="16"/>
          <w:szCs w:val="16"/>
        </w:rPr>
        <w:fldChar w:fldCharType="end"/>
      </w:r>
    </w:p>
    <w:p w14:paraId="475CF9D6"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67E07513" w14:textId="77777777">
        <w:tblPrEx>
          <w:tblCellMar>
            <w:top w:w="0" w:type="dxa"/>
            <w:left w:w="0" w:type="dxa"/>
            <w:bottom w:w="0" w:type="dxa"/>
            <w:right w:w="0" w:type="dxa"/>
          </w:tblCellMar>
        </w:tblPrEx>
        <w:tc>
          <w:tcPr>
            <w:tcW w:w="600" w:type="dxa"/>
            <w:tcBorders>
              <w:top w:val="nil"/>
              <w:left w:val="nil"/>
              <w:bottom w:val="nil"/>
              <w:right w:val="nil"/>
            </w:tcBorders>
          </w:tcPr>
          <w:bookmarkStart w:id="208" w:name="co_footnote_B01032041287330_1"/>
          <w:bookmarkEnd w:id="208"/>
          <w:p w14:paraId="54E96706"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"#co_footnoteReference_B01032041287330_ID0" </w:instrText>
            </w:r>
            <w:r w:rsidR="00F61700">
              <w:rPr>
                <w:color w:val="000000"/>
              </w:rPr>
            </w:r>
            <w:r>
              <w:rPr>
                <w:color w:val="000000"/>
              </w:rPr>
              <w:fldChar w:fldCharType="separate"/>
            </w:r>
            <w:r>
              <w:rPr>
                <w:color w:val="000000"/>
                <w:vertAlign w:val="superscript"/>
              </w:rPr>
              <w:t>102</w:t>
            </w:r>
            <w:r>
              <w:rPr>
                <w:color w:val="000000"/>
              </w:rPr>
              <w:fldChar w:fldCharType="end"/>
            </w:r>
          </w:p>
          <w:p w14:paraId="19223AAE"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5131F575" w14:textId="77777777" w:rsidR="00793DC4" w:rsidRDefault="00793DC4">
            <w:pPr>
              <w:widowControl w:val="0"/>
              <w:autoSpaceDE w:val="0"/>
              <w:autoSpaceDN w:val="0"/>
              <w:adjustRightInd w:val="0"/>
              <w:jc w:val="both"/>
              <w:rPr>
                <w:color w:val="000000"/>
                <w:sz w:val="18"/>
                <w:szCs w:val="18"/>
              </w:rPr>
            </w:pPr>
            <w:r>
              <w:rPr>
                <w:color w:val="000000"/>
                <w:sz w:val="18"/>
                <w:szCs w:val="18"/>
              </w:rPr>
              <w:t xml:space="preserve">Had </w:t>
            </w:r>
            <w:hyperlink r:id="rId304" w:history="1">
              <w:r>
                <w:rPr>
                  <w:i/>
                  <w:iCs/>
                  <w:color w:val="000000"/>
                  <w:sz w:val="18"/>
                  <w:szCs w:val="18"/>
                </w:rPr>
                <w:t>Wyeth</w:t>
              </w:r>
            </w:hyperlink>
            <w:r>
              <w:rPr>
                <w:color w:val="000000"/>
                <w:sz w:val="18"/>
                <w:szCs w:val="18"/>
              </w:rPr>
              <w:t xml:space="preserve"> come up on appeal from a grant of summary judgment, for example, the Court would have been forced to address whether the question of what the FDA would have done should be answered by a court or by a jury. But </w:t>
            </w:r>
            <w:hyperlink r:id="rId305" w:history="1">
              <w:r>
                <w:rPr>
                  <w:i/>
                  <w:iCs/>
                  <w:color w:val="000000"/>
                  <w:sz w:val="18"/>
                  <w:szCs w:val="18"/>
                </w:rPr>
                <w:t>Wyeth</w:t>
              </w:r>
            </w:hyperlink>
            <w:r>
              <w:rPr>
                <w:color w:val="000000"/>
                <w:sz w:val="18"/>
                <w:szCs w:val="18"/>
              </w:rPr>
              <w:t xml:space="preserve"> was an appeal of a post-trial motion for judgment, following a full jury trial and post-verdict proceedings in which the trial court made explicit fact findings, based on the trial record, directed at the preemption issue. </w:t>
            </w:r>
            <w:hyperlink r:id="rId306" w:history="1">
              <w:r>
                <w:rPr>
                  <w:i/>
                  <w:iCs/>
                  <w:color w:val="000000"/>
                  <w:sz w:val="18"/>
                  <w:szCs w:val="18"/>
                </w:rPr>
                <w:t>Wyeth</w:t>
              </w:r>
              <w:r>
                <w:rPr>
                  <w:color w:val="000000"/>
                  <w:sz w:val="18"/>
                  <w:szCs w:val="18"/>
                </w:rPr>
                <w:t xml:space="preserve">, 555 U.S. at 561-63, 129 </w:t>
              </w:r>
              <w:proofErr w:type="spellStart"/>
              <w:r>
                <w:rPr>
                  <w:color w:val="000000"/>
                  <w:sz w:val="18"/>
                  <w:szCs w:val="18"/>
                </w:rPr>
                <w:t>S.Ct</w:t>
              </w:r>
              <w:proofErr w:type="spellEnd"/>
              <w:r>
                <w:rPr>
                  <w:color w:val="000000"/>
                  <w:sz w:val="18"/>
                  <w:szCs w:val="18"/>
                </w:rPr>
                <w:t>. 1187</w:t>
              </w:r>
            </w:hyperlink>
            <w:r>
              <w:rPr>
                <w:color w:val="000000"/>
                <w:sz w:val="18"/>
                <w:szCs w:val="18"/>
              </w:rPr>
              <w:t xml:space="preserve">. The Supreme Court concluded on the basis of that complete record that there was “no ... evidence” that the FDA would have rejected a warning. </w:t>
            </w:r>
            <w:hyperlink r:id="rId307" w:history="1">
              <w:r>
                <w:rPr>
                  <w:i/>
                  <w:iCs/>
                  <w:color w:val="000000"/>
                  <w:sz w:val="18"/>
                  <w:szCs w:val="18"/>
                </w:rPr>
                <w:t>Id</w:t>
              </w:r>
              <w:r>
                <w:rPr>
                  <w:color w:val="000000"/>
                  <w:sz w:val="18"/>
                  <w:szCs w:val="18"/>
                </w:rPr>
                <w:t xml:space="preserve">. at 572, 129 </w:t>
              </w:r>
              <w:proofErr w:type="spellStart"/>
              <w:r>
                <w:rPr>
                  <w:color w:val="000000"/>
                  <w:sz w:val="18"/>
                  <w:szCs w:val="18"/>
                </w:rPr>
                <w:t>S.Ct</w:t>
              </w:r>
              <w:proofErr w:type="spellEnd"/>
              <w:r>
                <w:rPr>
                  <w:color w:val="000000"/>
                  <w:sz w:val="18"/>
                  <w:szCs w:val="18"/>
                </w:rPr>
                <w:t>. 1187</w:t>
              </w:r>
            </w:hyperlink>
            <w:r>
              <w:rPr>
                <w:color w:val="000000"/>
                <w:sz w:val="18"/>
                <w:szCs w:val="18"/>
              </w:rPr>
              <w:t xml:space="preserve">. The combination of (1) a complete fact record that (2) contained zero evidence to support preemption eliminated the need for remand, and thereby obviated the need to explain which judicial actor should make preemption-related findings in the first instance. And since the complete record contained </w:t>
            </w:r>
            <w:r>
              <w:rPr>
                <w:i/>
                <w:iCs/>
                <w:color w:val="000000"/>
                <w:sz w:val="18"/>
                <w:szCs w:val="18"/>
              </w:rPr>
              <w:t>no evidence</w:t>
            </w:r>
            <w:r>
              <w:rPr>
                <w:color w:val="000000"/>
                <w:sz w:val="18"/>
                <w:szCs w:val="18"/>
              </w:rPr>
              <w:t xml:space="preserve"> whatsoever indicating that the FDA would not have approved a label change, the Supreme Court had no reason to consider whether a jury could have reached a contrary conclusion.</w:t>
            </w:r>
          </w:p>
          <w:p w14:paraId="04A277F4" w14:textId="77777777" w:rsidR="00793DC4" w:rsidRDefault="00793DC4">
            <w:pPr>
              <w:widowControl w:val="0"/>
              <w:autoSpaceDE w:val="0"/>
              <w:autoSpaceDN w:val="0"/>
              <w:adjustRightInd w:val="0"/>
              <w:jc w:val="both"/>
              <w:rPr>
                <w:color w:val="000000"/>
                <w:sz w:val="18"/>
                <w:szCs w:val="18"/>
              </w:rPr>
            </w:pPr>
          </w:p>
        </w:tc>
      </w:tr>
    </w:tbl>
    <w:p w14:paraId="28F844E7"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3DC13D7A" w14:textId="77777777">
        <w:tblPrEx>
          <w:tblCellMar>
            <w:top w:w="0" w:type="dxa"/>
            <w:left w:w="0" w:type="dxa"/>
            <w:bottom w:w="0" w:type="dxa"/>
            <w:right w:w="0" w:type="dxa"/>
          </w:tblCellMar>
        </w:tblPrEx>
        <w:tc>
          <w:tcPr>
            <w:tcW w:w="600" w:type="dxa"/>
            <w:tcBorders>
              <w:top w:val="nil"/>
              <w:left w:val="nil"/>
              <w:bottom w:val="nil"/>
              <w:right w:val="nil"/>
            </w:tcBorders>
          </w:tcPr>
          <w:bookmarkStart w:id="209" w:name="co_footnote_B01042041287330_1"/>
          <w:bookmarkEnd w:id="209"/>
          <w:p w14:paraId="57781414"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"#co_footnoteReference_B01042041287330_ID0" </w:instrText>
            </w:r>
            <w:r w:rsidR="00F61700">
              <w:rPr>
                <w:color w:val="000000"/>
              </w:rPr>
            </w:r>
            <w:r>
              <w:rPr>
                <w:color w:val="000000"/>
              </w:rPr>
              <w:fldChar w:fldCharType="separate"/>
            </w:r>
            <w:r>
              <w:rPr>
                <w:color w:val="000000"/>
                <w:vertAlign w:val="superscript"/>
              </w:rPr>
              <w:t>103</w:t>
            </w:r>
            <w:r>
              <w:rPr>
                <w:color w:val="000000"/>
              </w:rPr>
              <w:fldChar w:fldCharType="end"/>
            </w:r>
          </w:p>
          <w:p w14:paraId="34A72C04"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0C506CC0" w14:textId="77777777" w:rsidR="00793DC4" w:rsidRDefault="00793DC4">
            <w:pPr>
              <w:widowControl w:val="0"/>
              <w:autoSpaceDE w:val="0"/>
              <w:autoSpaceDN w:val="0"/>
              <w:adjustRightInd w:val="0"/>
              <w:jc w:val="both"/>
              <w:rPr>
                <w:color w:val="000000"/>
                <w:sz w:val="18"/>
                <w:szCs w:val="18"/>
              </w:rPr>
            </w:pPr>
            <w:hyperlink r:id="rId308" w:history="1">
              <w:r>
                <w:rPr>
                  <w:i/>
                  <w:iCs/>
                  <w:color w:val="000000"/>
                  <w:sz w:val="18"/>
                  <w:szCs w:val="18"/>
                </w:rPr>
                <w:t>Mason</w:t>
              </w:r>
              <w:r>
                <w:rPr>
                  <w:color w:val="000000"/>
                  <w:sz w:val="18"/>
                  <w:szCs w:val="18"/>
                </w:rPr>
                <w:t>, 596 F.3d at 393-96</w:t>
              </w:r>
            </w:hyperlink>
            <w:r>
              <w:rPr>
                <w:color w:val="000000"/>
                <w:sz w:val="18"/>
                <w:szCs w:val="18"/>
              </w:rPr>
              <w:t>.</w:t>
            </w:r>
          </w:p>
          <w:p w14:paraId="0468A652" w14:textId="77777777" w:rsidR="00793DC4" w:rsidRDefault="00793DC4">
            <w:pPr>
              <w:widowControl w:val="0"/>
              <w:autoSpaceDE w:val="0"/>
              <w:autoSpaceDN w:val="0"/>
              <w:adjustRightInd w:val="0"/>
              <w:jc w:val="both"/>
              <w:rPr>
                <w:color w:val="000000"/>
                <w:sz w:val="18"/>
                <w:szCs w:val="18"/>
              </w:rPr>
            </w:pPr>
          </w:p>
        </w:tc>
      </w:tr>
    </w:tbl>
    <w:p w14:paraId="3960592C"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1444859E" w14:textId="77777777">
        <w:tblPrEx>
          <w:tblCellMar>
            <w:top w:w="0" w:type="dxa"/>
            <w:left w:w="0" w:type="dxa"/>
            <w:bottom w:w="0" w:type="dxa"/>
            <w:right w:w="0" w:type="dxa"/>
          </w:tblCellMar>
        </w:tblPrEx>
        <w:tc>
          <w:tcPr>
            <w:tcW w:w="600" w:type="dxa"/>
            <w:tcBorders>
              <w:top w:val="nil"/>
              <w:left w:val="nil"/>
              <w:bottom w:val="nil"/>
              <w:right w:val="nil"/>
            </w:tcBorders>
          </w:tcPr>
          <w:bookmarkStart w:id="210" w:name="co_footnote_B01052041287330_1"/>
          <w:bookmarkEnd w:id="210"/>
          <w:p w14:paraId="4049BD62"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"#co_footnoteReference_B01052041287330_ID0" </w:instrText>
            </w:r>
            <w:r w:rsidR="00F61700">
              <w:rPr>
                <w:color w:val="000000"/>
              </w:rPr>
            </w:r>
            <w:r>
              <w:rPr>
                <w:color w:val="000000"/>
              </w:rPr>
              <w:fldChar w:fldCharType="separate"/>
            </w:r>
            <w:r>
              <w:rPr>
                <w:color w:val="000000"/>
                <w:vertAlign w:val="superscript"/>
              </w:rPr>
              <w:t>104</w:t>
            </w:r>
            <w:r>
              <w:rPr>
                <w:color w:val="000000"/>
              </w:rPr>
              <w:fldChar w:fldCharType="end"/>
            </w:r>
          </w:p>
          <w:p w14:paraId="67F32E9E"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77505151" w14:textId="77777777" w:rsidR="00793DC4" w:rsidRDefault="00793DC4">
            <w:pPr>
              <w:widowControl w:val="0"/>
              <w:autoSpaceDE w:val="0"/>
              <w:autoSpaceDN w:val="0"/>
              <w:adjustRightInd w:val="0"/>
              <w:jc w:val="both"/>
              <w:rPr>
                <w:color w:val="000000"/>
                <w:sz w:val="18"/>
                <w:szCs w:val="18"/>
              </w:rPr>
            </w:pPr>
            <w:hyperlink r:id="rId309" w:history="1">
              <w:r>
                <w:rPr>
                  <w:i/>
                  <w:iCs/>
                  <w:color w:val="000000"/>
                  <w:sz w:val="18"/>
                  <w:szCs w:val="18"/>
                </w:rPr>
                <w:t>Gaeta</w:t>
              </w:r>
              <w:r>
                <w:rPr>
                  <w:color w:val="000000"/>
                  <w:sz w:val="18"/>
                  <w:szCs w:val="18"/>
                </w:rPr>
                <w:t>, 630 F.3d at 1235-36</w:t>
              </w:r>
            </w:hyperlink>
            <w:r>
              <w:rPr>
                <w:color w:val="000000"/>
                <w:sz w:val="18"/>
                <w:szCs w:val="18"/>
              </w:rPr>
              <w:t>.</w:t>
            </w:r>
          </w:p>
          <w:p w14:paraId="5F4C7C2C" w14:textId="77777777" w:rsidR="00793DC4" w:rsidRDefault="00793DC4">
            <w:pPr>
              <w:widowControl w:val="0"/>
              <w:autoSpaceDE w:val="0"/>
              <w:autoSpaceDN w:val="0"/>
              <w:adjustRightInd w:val="0"/>
              <w:jc w:val="both"/>
              <w:rPr>
                <w:color w:val="000000"/>
                <w:sz w:val="18"/>
                <w:szCs w:val="18"/>
              </w:rPr>
            </w:pPr>
          </w:p>
        </w:tc>
      </w:tr>
    </w:tbl>
    <w:p w14:paraId="23C6CBE0"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4FCBD1EA" w14:textId="77777777">
        <w:tblPrEx>
          <w:tblCellMar>
            <w:top w:w="0" w:type="dxa"/>
            <w:left w:w="0" w:type="dxa"/>
            <w:bottom w:w="0" w:type="dxa"/>
            <w:right w:w="0" w:type="dxa"/>
          </w:tblCellMar>
        </w:tblPrEx>
        <w:tc>
          <w:tcPr>
            <w:tcW w:w="600" w:type="dxa"/>
            <w:tcBorders>
              <w:top w:val="nil"/>
              <w:left w:val="nil"/>
              <w:bottom w:val="nil"/>
              <w:right w:val="nil"/>
            </w:tcBorders>
          </w:tcPr>
          <w:bookmarkStart w:id="211" w:name="co_footnote_B01062041287330_1"/>
          <w:bookmarkEnd w:id="211"/>
          <w:p w14:paraId="1C88232C"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"#co_footnoteReference_B01062041287330_ID0" </w:instrText>
            </w:r>
            <w:r w:rsidR="00F61700">
              <w:rPr>
                <w:color w:val="000000"/>
              </w:rPr>
            </w:r>
            <w:r>
              <w:rPr>
                <w:color w:val="000000"/>
              </w:rPr>
              <w:fldChar w:fldCharType="separate"/>
            </w:r>
            <w:r>
              <w:rPr>
                <w:color w:val="000000"/>
                <w:vertAlign w:val="superscript"/>
              </w:rPr>
              <w:t>105</w:t>
            </w:r>
            <w:r>
              <w:rPr>
                <w:color w:val="000000"/>
              </w:rPr>
              <w:fldChar w:fldCharType="end"/>
            </w:r>
          </w:p>
          <w:p w14:paraId="2DBA1DCF"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58166B55" w14:textId="77777777" w:rsidR="00793DC4" w:rsidRDefault="00793DC4">
            <w:pPr>
              <w:widowControl w:val="0"/>
              <w:autoSpaceDE w:val="0"/>
              <w:autoSpaceDN w:val="0"/>
              <w:adjustRightInd w:val="0"/>
              <w:jc w:val="both"/>
              <w:rPr>
                <w:color w:val="000000"/>
                <w:sz w:val="18"/>
                <w:szCs w:val="18"/>
              </w:rPr>
            </w:pPr>
            <w:r>
              <w:rPr>
                <w:i/>
                <w:iCs/>
                <w:color w:val="000000"/>
                <w:sz w:val="18"/>
                <w:szCs w:val="18"/>
              </w:rPr>
              <w:t>See</w:t>
            </w:r>
            <w:r>
              <w:rPr>
                <w:color w:val="000000"/>
                <w:sz w:val="18"/>
                <w:szCs w:val="18"/>
              </w:rPr>
              <w:t xml:space="preserve">, </w:t>
            </w:r>
            <w:r>
              <w:rPr>
                <w:i/>
                <w:iCs/>
                <w:color w:val="000000"/>
                <w:sz w:val="18"/>
                <w:szCs w:val="18"/>
              </w:rPr>
              <w:t>e.g.</w:t>
            </w:r>
            <w:r>
              <w:rPr>
                <w:color w:val="000000"/>
                <w:sz w:val="18"/>
                <w:szCs w:val="18"/>
              </w:rPr>
              <w:t xml:space="preserve">, </w:t>
            </w:r>
            <w:hyperlink r:id="rId310" w:history="1">
              <w:proofErr w:type="spellStart"/>
              <w:r>
                <w:rPr>
                  <w:i/>
                  <w:iCs/>
                  <w:color w:val="000000"/>
                  <w:sz w:val="18"/>
                  <w:szCs w:val="18"/>
                </w:rPr>
                <w:t>Demahy</w:t>
              </w:r>
              <w:proofErr w:type="spellEnd"/>
              <w:r>
                <w:rPr>
                  <w:i/>
                  <w:iCs/>
                  <w:color w:val="000000"/>
                  <w:sz w:val="18"/>
                  <w:szCs w:val="18"/>
                </w:rPr>
                <w:t xml:space="preserve"> v. </w:t>
              </w:r>
              <w:proofErr w:type="spellStart"/>
              <w:r>
                <w:rPr>
                  <w:i/>
                  <w:iCs/>
                  <w:color w:val="000000"/>
                  <w:sz w:val="18"/>
                  <w:szCs w:val="18"/>
                </w:rPr>
                <w:t>Actavis</w:t>
              </w:r>
              <w:proofErr w:type="spellEnd"/>
              <w:r>
                <w:rPr>
                  <w:i/>
                  <w:iCs/>
                  <w:color w:val="000000"/>
                  <w:sz w:val="18"/>
                  <w:szCs w:val="18"/>
                </w:rPr>
                <w:t>, Inc.</w:t>
              </w:r>
              <w:r>
                <w:rPr>
                  <w:color w:val="000000"/>
                  <w:sz w:val="18"/>
                  <w:szCs w:val="18"/>
                </w:rPr>
                <w:t>, 593 F.3d 428, 446 (5th Cir. 2010)</w:t>
              </w:r>
            </w:hyperlink>
            <w:r>
              <w:rPr>
                <w:color w:val="000000"/>
                <w:sz w:val="18"/>
                <w:szCs w:val="18"/>
              </w:rPr>
              <w:t xml:space="preserve"> (“The record here contains nothing, let alone ‘clear evidence,’ that suggests the FDA would have rejected a labeling proposal from </w:t>
            </w:r>
            <w:proofErr w:type="spellStart"/>
            <w:r>
              <w:rPr>
                <w:color w:val="000000"/>
                <w:sz w:val="18"/>
                <w:szCs w:val="18"/>
              </w:rPr>
              <w:t>Actavis</w:t>
            </w:r>
            <w:proofErr w:type="spellEnd"/>
            <w:r>
              <w:rPr>
                <w:color w:val="000000"/>
                <w:sz w:val="18"/>
                <w:szCs w:val="18"/>
              </w:rPr>
              <w:t xml:space="preserve">.”); </w:t>
            </w:r>
            <w:hyperlink r:id="rId311" w:history="1">
              <w:proofErr w:type="spellStart"/>
              <w:r>
                <w:rPr>
                  <w:i/>
                  <w:iCs/>
                  <w:color w:val="000000"/>
                  <w:sz w:val="18"/>
                  <w:szCs w:val="18"/>
                </w:rPr>
                <w:t>Mensing</w:t>
              </w:r>
              <w:proofErr w:type="spellEnd"/>
              <w:r>
                <w:rPr>
                  <w:i/>
                  <w:iCs/>
                  <w:color w:val="000000"/>
                  <w:sz w:val="18"/>
                  <w:szCs w:val="18"/>
                </w:rPr>
                <w:t xml:space="preserve"> v. Wyeth, Inc.</w:t>
              </w:r>
              <w:r>
                <w:rPr>
                  <w:color w:val="000000"/>
                  <w:sz w:val="18"/>
                  <w:szCs w:val="18"/>
                </w:rPr>
                <w:t>, 588 F.3d 603, 610-11 (8th Cir. 2009)</w:t>
              </w:r>
            </w:hyperlink>
            <w:r>
              <w:rPr>
                <w:color w:val="000000"/>
                <w:sz w:val="18"/>
                <w:szCs w:val="18"/>
              </w:rPr>
              <w:t xml:space="preserve"> (“The record contains nothing, let alone ‘clear evidence,’ to suggest the FDA would have rejected a labeling proposal from any of them.”); </w:t>
            </w:r>
            <w:r>
              <w:rPr>
                <w:i/>
                <w:iCs/>
                <w:color w:val="000000"/>
                <w:sz w:val="18"/>
                <w:szCs w:val="18"/>
              </w:rPr>
              <w:t xml:space="preserve">but see </w:t>
            </w:r>
            <w:hyperlink r:id="rId312" w:history="1">
              <w:r>
                <w:rPr>
                  <w:i/>
                  <w:iCs/>
                  <w:color w:val="000000"/>
                  <w:sz w:val="18"/>
                  <w:szCs w:val="18"/>
                </w:rPr>
                <w:t>Miller v. SmithKline Beecham Corp.</w:t>
              </w:r>
              <w:r>
                <w:rPr>
                  <w:color w:val="000000"/>
                  <w:sz w:val="18"/>
                  <w:szCs w:val="18"/>
                </w:rPr>
                <w:t xml:space="preserve">, 381 </w:t>
              </w:r>
              <w:proofErr w:type="spellStart"/>
              <w:r>
                <w:rPr>
                  <w:color w:val="000000"/>
                  <w:sz w:val="18"/>
                  <w:szCs w:val="18"/>
                </w:rPr>
                <w:t>Fed.Appx</w:t>
              </w:r>
              <w:proofErr w:type="spellEnd"/>
              <w:r>
                <w:rPr>
                  <w:color w:val="000000"/>
                  <w:sz w:val="18"/>
                  <w:szCs w:val="18"/>
                </w:rPr>
                <w:t>. 776 (10th Cir. 2010)</w:t>
              </w:r>
            </w:hyperlink>
            <w:r>
              <w:rPr>
                <w:color w:val="000000"/>
                <w:sz w:val="18"/>
                <w:szCs w:val="18"/>
              </w:rPr>
              <w:t xml:space="preserve"> (unpublished) (without any prior discussion, remanding “to give the [district] court the opportunity to make evidentiary findings and analyze the record in light of [</w:t>
            </w:r>
            <w:hyperlink r:id="rId313" w:history="1">
              <w:r>
                <w:rPr>
                  <w:i/>
                  <w:iCs/>
                  <w:color w:val="000000"/>
                  <w:sz w:val="18"/>
                  <w:szCs w:val="18"/>
                </w:rPr>
                <w:t>Wyeth’s</w:t>
              </w:r>
            </w:hyperlink>
            <w:r>
              <w:rPr>
                <w:color w:val="000000"/>
                <w:sz w:val="18"/>
                <w:szCs w:val="18"/>
              </w:rPr>
              <w:t>] new ‘clear evidence’ standard”).</w:t>
            </w:r>
          </w:p>
          <w:p w14:paraId="6F20939D" w14:textId="77777777" w:rsidR="00793DC4" w:rsidRDefault="00793DC4">
            <w:pPr>
              <w:widowControl w:val="0"/>
              <w:autoSpaceDE w:val="0"/>
              <w:autoSpaceDN w:val="0"/>
              <w:adjustRightInd w:val="0"/>
              <w:jc w:val="both"/>
              <w:rPr>
                <w:color w:val="000000"/>
                <w:sz w:val="18"/>
                <w:szCs w:val="18"/>
              </w:rPr>
            </w:pPr>
          </w:p>
        </w:tc>
      </w:tr>
    </w:tbl>
    <w:p w14:paraId="5940DCCA" w14:textId="77777777" w:rsidR="00793DC4" w:rsidRDefault="00793DC4">
      <w:pPr>
        <w:widowControl w:val="0"/>
        <w:autoSpaceDE w:val="0"/>
        <w:autoSpaceDN w:val="0"/>
        <w:adjustRightInd w:val="0"/>
        <w:jc w:val="both"/>
        <w:rPr>
          <w:color w:val="000000"/>
        </w:rPr>
      </w:pPr>
    </w:p>
    <w:p w14:paraId="286328F8" w14:textId="77777777" w:rsidR="00793DC4" w:rsidRDefault="00793DC4">
      <w:pPr>
        <w:widowControl w:val="0"/>
        <w:autoSpaceDE w:val="0"/>
        <w:autoSpaceDN w:val="0"/>
        <w:adjustRightInd w:val="0"/>
        <w:jc w:val="both"/>
        <w:rPr>
          <w:color w:val="000000"/>
        </w:rPr>
      </w:pPr>
      <w:r>
        <w:rPr>
          <w:color w:val="000000"/>
        </w:rPr>
        <w:t xml:space="preserve">It is possible to characterize this approach as a tacit acknowledgment that the “clear evidence” test is a legal question to be answered directly by the court. </w:t>
      </w:r>
      <w:hyperlink r:id="rId314" w:history="1">
        <w:r>
          <w:rPr>
            <w:i/>
            <w:iCs/>
            <w:color w:val="000000"/>
          </w:rPr>
          <w:t>Mason</w:t>
        </w:r>
      </w:hyperlink>
      <w:r>
        <w:rPr>
          <w:color w:val="000000"/>
        </w:rPr>
        <w:t xml:space="preserve">, for example, was an appeal of a grant of summary judgment, but the court did not engage in a </w:t>
      </w:r>
      <w:hyperlink r:id="rId315" w:history="1">
        <w:r>
          <w:rPr>
            <w:color w:val="000000"/>
          </w:rPr>
          <w:t>Rule 56</w:t>
        </w:r>
      </w:hyperlink>
      <w:r>
        <w:rPr>
          <w:color w:val="000000"/>
        </w:rPr>
        <w:t xml:space="preserve"> disputed-facts analysis or consider whether a reasonable jury could reach a contrary conclusion. At the same time the court also did not explain why the </w:t>
      </w:r>
      <w:hyperlink r:id="rId316" w:history="1">
        <w:proofErr w:type="gramStart"/>
        <w:r>
          <w:rPr>
            <w:i/>
            <w:iCs/>
            <w:color w:val="000000"/>
          </w:rPr>
          <w:t>Wyeth</w:t>
        </w:r>
      </w:hyperlink>
      <w:r>
        <w:rPr>
          <w:color w:val="000000"/>
        </w:rPr>
        <w:t xml:space="preserve"> test should be resolved by the court</w:t>
      </w:r>
      <w:proofErr w:type="gramEnd"/>
      <w:r>
        <w:rPr>
          <w:color w:val="000000"/>
        </w:rPr>
        <w:t xml:space="preserve"> in the first instance. We do not lightly discount the wisdom of our sister circuits and the district courts that have grappled with these issues. But there is a difference between rejecting another court’s considered judgment, on the one hand, and taking up an issue that has not been thoroughly analyzed, on the other. Furthermore, the approach taken by our sister circuits would be entirely consistent with our decision that the “clear evidence” test is a fact question that is ultimately for a jury to decide. After all, by comparing </w:t>
      </w:r>
      <w:r>
        <w:rPr>
          <w:b/>
          <w:bCs/>
          <w:color w:val="000000"/>
        </w:rPr>
        <w:t>*288</w:t>
      </w:r>
      <w:r>
        <w:rPr>
          <w:color w:val="000000"/>
        </w:rPr>
        <w:t xml:space="preserve"> the evidence presented in these cases with the evidence presented in </w:t>
      </w:r>
      <w:hyperlink r:id="rId317" w:history="1">
        <w:r>
          <w:rPr>
            <w:i/>
            <w:iCs/>
            <w:color w:val="000000"/>
          </w:rPr>
          <w:t>Wyeth</w:t>
        </w:r>
      </w:hyperlink>
      <w:r>
        <w:rPr>
          <w:color w:val="000000"/>
        </w:rPr>
        <w:t>, these circuits are in fact engaging in a summary judgment analysis, even if they do not name it.</w:t>
      </w:r>
    </w:p>
    <w:p w14:paraId="7F278808" w14:textId="77777777" w:rsidR="00793DC4" w:rsidRDefault="00793DC4">
      <w:pPr>
        <w:widowControl w:val="0"/>
        <w:autoSpaceDE w:val="0"/>
        <w:autoSpaceDN w:val="0"/>
        <w:adjustRightInd w:val="0"/>
        <w:jc w:val="both"/>
        <w:rPr>
          <w:color w:val="000000"/>
        </w:rPr>
      </w:pPr>
      <w:r>
        <w:rPr>
          <w:color w:val="000000"/>
        </w:rPr>
        <w:t> </w:t>
      </w:r>
    </w:p>
    <w:p w14:paraId="2A9AA839" w14:textId="77777777" w:rsidR="00793DC4" w:rsidRDefault="00793DC4">
      <w:pPr>
        <w:widowControl w:val="0"/>
        <w:autoSpaceDE w:val="0"/>
        <w:autoSpaceDN w:val="0"/>
        <w:adjustRightInd w:val="0"/>
        <w:jc w:val="both"/>
        <w:rPr>
          <w:color w:val="000000"/>
          <w:sz w:val="16"/>
          <w:szCs w:val="16"/>
        </w:rPr>
      </w:pPr>
      <w:r>
        <w:rPr>
          <w:b/>
          <w:bCs/>
          <w:i/>
          <w:iCs/>
          <w:color w:val="000000"/>
        </w:rPr>
        <w:t>Second</w:t>
      </w:r>
      <w:r>
        <w:rPr>
          <w:color w:val="000000"/>
        </w:rPr>
        <w:t xml:space="preserve">, Merck asserts that conflict preemption </w:t>
      </w:r>
      <w:r>
        <w:rPr>
          <w:i/>
          <w:iCs/>
          <w:color w:val="000000"/>
        </w:rPr>
        <w:t>always</w:t>
      </w:r>
      <w:r>
        <w:rPr>
          <w:color w:val="000000"/>
        </w:rPr>
        <w:t xml:space="preserve"> presents a pure question of law. To be sure, we have made numerous offhand statements that seem to support Merck’s position.</w:t>
      </w:r>
      <w:bookmarkStart w:id="212" w:name="co_footnoteReference_B01072041287330_ID0"/>
      <w:bookmarkEnd w:id="212"/>
      <w:r>
        <w:rPr>
          <w:color w:val="000000"/>
          <w:sz w:val="16"/>
          <w:szCs w:val="16"/>
        </w:rPr>
        <w:fldChar w:fldCharType="begin"/>
      </w:r>
      <w:r>
        <w:rPr>
          <w:color w:val="000000"/>
          <w:sz w:val="16"/>
          <w:szCs w:val="16"/>
        </w:rPr>
        <w:instrText xml:space="preserve">HYPERLINK "#co_footnote_B01072041287330_1" </w:instrText>
      </w:r>
      <w:r w:rsidR="00F61700">
        <w:rPr>
          <w:color w:val="000000"/>
          <w:sz w:val="16"/>
          <w:szCs w:val="16"/>
        </w:rPr>
      </w:r>
      <w:r>
        <w:rPr>
          <w:color w:val="000000"/>
          <w:sz w:val="16"/>
          <w:szCs w:val="16"/>
        </w:rPr>
        <w:fldChar w:fldCharType="separate"/>
      </w:r>
      <w:r>
        <w:rPr>
          <w:color w:val="000000"/>
          <w:sz w:val="16"/>
          <w:szCs w:val="16"/>
          <w:vertAlign w:val="superscript"/>
        </w:rPr>
        <w:t>106</w:t>
      </w:r>
      <w:r>
        <w:rPr>
          <w:color w:val="000000"/>
          <w:sz w:val="16"/>
          <w:szCs w:val="16"/>
        </w:rPr>
        <w:fldChar w:fldCharType="end"/>
      </w:r>
      <w:r>
        <w:rPr>
          <w:color w:val="000000"/>
        </w:rPr>
        <w:t xml:space="preserve"> And as Merck points out, several district courts relying on similar language have concluded, albeit without substantial analysis, that a manufacturer’s entitlement to the </w:t>
      </w:r>
      <w:hyperlink r:id="rId318" w:history="1">
        <w:r>
          <w:rPr>
            <w:i/>
            <w:iCs/>
            <w:color w:val="000000"/>
          </w:rPr>
          <w:t>Wyeth</w:t>
        </w:r>
      </w:hyperlink>
      <w:r>
        <w:rPr>
          <w:color w:val="000000"/>
        </w:rPr>
        <w:t xml:space="preserve"> preemption defense is a question of law for the court rather than the jury.</w:t>
      </w:r>
      <w:bookmarkStart w:id="213" w:name="co_footnoteReference_B01082041287330_ID0"/>
      <w:bookmarkEnd w:id="213"/>
      <w:r>
        <w:rPr>
          <w:color w:val="000000"/>
          <w:sz w:val="16"/>
          <w:szCs w:val="16"/>
        </w:rPr>
        <w:fldChar w:fldCharType="begin"/>
      </w:r>
      <w:r>
        <w:rPr>
          <w:color w:val="000000"/>
          <w:sz w:val="16"/>
          <w:szCs w:val="16"/>
        </w:rPr>
        <w:instrText xml:space="preserve">HYPERLINK "#co_footnote_B01082041287330_1" </w:instrText>
      </w:r>
      <w:r w:rsidR="00F61700">
        <w:rPr>
          <w:color w:val="000000"/>
          <w:sz w:val="16"/>
          <w:szCs w:val="16"/>
        </w:rPr>
      </w:r>
      <w:r>
        <w:rPr>
          <w:color w:val="000000"/>
          <w:sz w:val="16"/>
          <w:szCs w:val="16"/>
        </w:rPr>
        <w:fldChar w:fldCharType="separate"/>
      </w:r>
      <w:r>
        <w:rPr>
          <w:color w:val="000000"/>
          <w:sz w:val="16"/>
          <w:szCs w:val="16"/>
          <w:vertAlign w:val="superscript"/>
        </w:rPr>
        <w:t>107</w:t>
      </w:r>
      <w:r>
        <w:rPr>
          <w:color w:val="000000"/>
          <w:sz w:val="16"/>
          <w:szCs w:val="16"/>
        </w:rPr>
        <w:fldChar w:fldCharType="end"/>
      </w:r>
    </w:p>
    <w:p w14:paraId="0A345C5D"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0C7ACED4" w14:textId="77777777">
        <w:tblPrEx>
          <w:tblCellMar>
            <w:top w:w="0" w:type="dxa"/>
            <w:left w:w="0" w:type="dxa"/>
            <w:bottom w:w="0" w:type="dxa"/>
            <w:right w:w="0" w:type="dxa"/>
          </w:tblCellMar>
        </w:tblPrEx>
        <w:tc>
          <w:tcPr>
            <w:tcW w:w="600" w:type="dxa"/>
            <w:tcBorders>
              <w:top w:val="nil"/>
              <w:left w:val="nil"/>
              <w:bottom w:val="nil"/>
              <w:right w:val="nil"/>
            </w:tcBorders>
          </w:tcPr>
          <w:bookmarkStart w:id="214" w:name="co_footnote_B01072041287330_1"/>
          <w:bookmarkEnd w:id="214"/>
          <w:p w14:paraId="15C82478"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"#co_footnoteReference_B01072041287330_ID0" </w:instrText>
            </w:r>
            <w:r w:rsidR="00F61700">
              <w:rPr>
                <w:color w:val="000000"/>
              </w:rPr>
            </w:r>
            <w:r>
              <w:rPr>
                <w:color w:val="000000"/>
              </w:rPr>
              <w:fldChar w:fldCharType="separate"/>
            </w:r>
            <w:r>
              <w:rPr>
                <w:color w:val="000000"/>
                <w:vertAlign w:val="superscript"/>
              </w:rPr>
              <w:t>106</w:t>
            </w:r>
            <w:r>
              <w:rPr>
                <w:color w:val="000000"/>
              </w:rPr>
              <w:fldChar w:fldCharType="end"/>
            </w:r>
          </w:p>
          <w:p w14:paraId="3A2BCA6A"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3D010E8A" w14:textId="77777777" w:rsidR="00793DC4" w:rsidRDefault="00793DC4">
            <w:pPr>
              <w:widowControl w:val="0"/>
              <w:autoSpaceDE w:val="0"/>
              <w:autoSpaceDN w:val="0"/>
              <w:adjustRightInd w:val="0"/>
              <w:jc w:val="both"/>
              <w:rPr>
                <w:color w:val="000000"/>
                <w:sz w:val="18"/>
                <w:szCs w:val="18"/>
              </w:rPr>
            </w:pPr>
            <w:r>
              <w:rPr>
                <w:i/>
                <w:iCs/>
                <w:color w:val="000000"/>
                <w:sz w:val="18"/>
                <w:szCs w:val="18"/>
              </w:rPr>
              <w:t>See</w:t>
            </w:r>
            <w:r>
              <w:rPr>
                <w:color w:val="000000"/>
                <w:sz w:val="18"/>
                <w:szCs w:val="18"/>
              </w:rPr>
              <w:t xml:space="preserve">, </w:t>
            </w:r>
            <w:r>
              <w:rPr>
                <w:i/>
                <w:iCs/>
                <w:color w:val="000000"/>
                <w:sz w:val="18"/>
                <w:szCs w:val="18"/>
              </w:rPr>
              <w:t>e.g.</w:t>
            </w:r>
            <w:r>
              <w:rPr>
                <w:color w:val="000000"/>
                <w:sz w:val="18"/>
                <w:szCs w:val="18"/>
              </w:rPr>
              <w:t xml:space="preserve">, </w:t>
            </w:r>
            <w:hyperlink r:id="rId319" w:history="1">
              <w:r>
                <w:rPr>
                  <w:i/>
                  <w:iCs/>
                  <w:color w:val="000000"/>
                  <w:sz w:val="18"/>
                  <w:szCs w:val="18"/>
                </w:rPr>
                <w:t>In re Federal-Mogul Global Inc.</w:t>
              </w:r>
              <w:r>
                <w:rPr>
                  <w:color w:val="000000"/>
                  <w:sz w:val="18"/>
                  <w:szCs w:val="18"/>
                </w:rPr>
                <w:t>, 684 F.3d 355, 364 n.16 (3d Cir. 2012)</w:t>
              </w:r>
            </w:hyperlink>
            <w:r>
              <w:rPr>
                <w:color w:val="000000"/>
                <w:sz w:val="18"/>
                <w:szCs w:val="18"/>
              </w:rPr>
              <w:t xml:space="preserve"> (“The scope of preemption presents a pure question of law, which we review </w:t>
            </w:r>
            <w:r>
              <w:rPr>
                <w:i/>
                <w:iCs/>
                <w:color w:val="000000"/>
                <w:sz w:val="18"/>
                <w:szCs w:val="18"/>
              </w:rPr>
              <w:t>de novo</w:t>
            </w:r>
            <w:r>
              <w:rPr>
                <w:color w:val="000000"/>
                <w:sz w:val="18"/>
                <w:szCs w:val="18"/>
              </w:rPr>
              <w:t xml:space="preserve">.”); </w:t>
            </w:r>
            <w:hyperlink r:id="rId320" w:history="1">
              <w:r>
                <w:rPr>
                  <w:i/>
                  <w:iCs/>
                  <w:color w:val="000000"/>
                  <w:sz w:val="18"/>
                  <w:szCs w:val="18"/>
                </w:rPr>
                <w:t xml:space="preserve">Horn v. </w:t>
              </w:r>
              <w:proofErr w:type="spellStart"/>
              <w:r>
                <w:rPr>
                  <w:i/>
                  <w:iCs/>
                  <w:color w:val="000000"/>
                  <w:sz w:val="18"/>
                  <w:szCs w:val="18"/>
                </w:rPr>
                <w:t>Thoratec</w:t>
              </w:r>
              <w:proofErr w:type="spellEnd"/>
              <w:r>
                <w:rPr>
                  <w:i/>
                  <w:iCs/>
                  <w:color w:val="000000"/>
                  <w:sz w:val="18"/>
                  <w:szCs w:val="18"/>
                </w:rPr>
                <w:t xml:space="preserve"> Corp</w:t>
              </w:r>
              <w:r>
                <w:rPr>
                  <w:color w:val="000000"/>
                  <w:sz w:val="18"/>
                  <w:szCs w:val="18"/>
                </w:rPr>
                <w:t>., 376 F.3d 163, 166 (3d Cir. 2004)</w:t>
              </w:r>
            </w:hyperlink>
            <w:r>
              <w:rPr>
                <w:color w:val="000000"/>
                <w:sz w:val="18"/>
                <w:szCs w:val="18"/>
              </w:rPr>
              <w:t xml:space="preserve"> (“This Court also exercises plenary review over a district court’s preemption determination, as it is a question of law.”).</w:t>
            </w:r>
          </w:p>
          <w:p w14:paraId="6C97894A" w14:textId="77777777" w:rsidR="00793DC4" w:rsidRDefault="00793DC4">
            <w:pPr>
              <w:widowControl w:val="0"/>
              <w:autoSpaceDE w:val="0"/>
              <w:autoSpaceDN w:val="0"/>
              <w:adjustRightInd w:val="0"/>
              <w:jc w:val="both"/>
              <w:rPr>
                <w:color w:val="000000"/>
                <w:sz w:val="18"/>
                <w:szCs w:val="18"/>
              </w:rPr>
            </w:pPr>
          </w:p>
        </w:tc>
      </w:tr>
    </w:tbl>
    <w:p w14:paraId="5E5D40B4"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0D8610DF" w14:textId="77777777">
        <w:tblPrEx>
          <w:tblCellMar>
            <w:top w:w="0" w:type="dxa"/>
            <w:left w:w="0" w:type="dxa"/>
            <w:bottom w:w="0" w:type="dxa"/>
            <w:right w:w="0" w:type="dxa"/>
          </w:tblCellMar>
        </w:tblPrEx>
        <w:tc>
          <w:tcPr>
            <w:tcW w:w="600" w:type="dxa"/>
            <w:tcBorders>
              <w:top w:val="nil"/>
              <w:left w:val="nil"/>
              <w:bottom w:val="nil"/>
              <w:right w:val="nil"/>
            </w:tcBorders>
          </w:tcPr>
          <w:bookmarkStart w:id="215" w:name="co_footnote_B01082041287330_1"/>
          <w:bookmarkEnd w:id="215"/>
          <w:p w14:paraId="3A88213E"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"#co_footnoteReference_B01082041287330_ID0" </w:instrText>
            </w:r>
            <w:r w:rsidR="00F61700">
              <w:rPr>
                <w:color w:val="000000"/>
              </w:rPr>
            </w:r>
            <w:r>
              <w:rPr>
                <w:color w:val="000000"/>
              </w:rPr>
              <w:fldChar w:fldCharType="separate"/>
            </w:r>
            <w:r>
              <w:rPr>
                <w:color w:val="000000"/>
                <w:vertAlign w:val="superscript"/>
              </w:rPr>
              <w:t>107</w:t>
            </w:r>
            <w:r>
              <w:rPr>
                <w:color w:val="000000"/>
              </w:rPr>
              <w:fldChar w:fldCharType="end"/>
            </w:r>
          </w:p>
          <w:p w14:paraId="137017ED"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4E528EC0" w14:textId="77777777" w:rsidR="00793DC4" w:rsidRDefault="00793DC4">
            <w:pPr>
              <w:widowControl w:val="0"/>
              <w:autoSpaceDE w:val="0"/>
              <w:autoSpaceDN w:val="0"/>
              <w:adjustRightInd w:val="0"/>
              <w:jc w:val="both"/>
              <w:rPr>
                <w:color w:val="000000"/>
                <w:sz w:val="18"/>
                <w:szCs w:val="18"/>
              </w:rPr>
            </w:pPr>
            <w:r>
              <w:rPr>
                <w:i/>
                <w:iCs/>
                <w:color w:val="000000"/>
                <w:sz w:val="18"/>
                <w:szCs w:val="18"/>
              </w:rPr>
              <w:t xml:space="preserve">See </w:t>
            </w:r>
            <w:hyperlink r:id="rId321" w:history="1">
              <w:r>
                <w:rPr>
                  <w:i/>
                  <w:iCs/>
                  <w:color w:val="000000"/>
                  <w:sz w:val="18"/>
                  <w:szCs w:val="18"/>
                </w:rPr>
                <w:t>Dobbs v. Wyeth Pharms</w:t>
              </w:r>
              <w:proofErr w:type="gramStart"/>
              <w:r>
                <w:rPr>
                  <w:color w:val="000000"/>
                  <w:sz w:val="18"/>
                  <w:szCs w:val="18"/>
                </w:rPr>
                <w:t>.,</w:t>
              </w:r>
              <w:proofErr w:type="gramEnd"/>
              <w:r>
                <w:rPr>
                  <w:color w:val="000000"/>
                  <w:sz w:val="18"/>
                  <w:szCs w:val="18"/>
                </w:rPr>
                <w:t xml:space="preserve"> 797 F.Supp.2d 1264, 1267 (W.D. Okla. 2011)</w:t>
              </w:r>
            </w:hyperlink>
            <w:r>
              <w:rPr>
                <w:color w:val="000000"/>
                <w:sz w:val="18"/>
                <w:szCs w:val="18"/>
              </w:rPr>
              <w:t xml:space="preserve">; </w:t>
            </w:r>
            <w:hyperlink r:id="rId322" w:history="1">
              <w:r>
                <w:rPr>
                  <w:i/>
                  <w:iCs/>
                  <w:color w:val="000000"/>
                  <w:sz w:val="18"/>
                  <w:szCs w:val="18"/>
                </w:rPr>
                <w:t xml:space="preserve">In re </w:t>
              </w:r>
              <w:proofErr w:type="spellStart"/>
              <w:r>
                <w:rPr>
                  <w:i/>
                  <w:iCs/>
                  <w:color w:val="000000"/>
                  <w:sz w:val="18"/>
                  <w:szCs w:val="18"/>
                </w:rPr>
                <w:t>Incretin</w:t>
              </w:r>
              <w:proofErr w:type="spellEnd"/>
              <w:r>
                <w:rPr>
                  <w:i/>
                  <w:iCs/>
                  <w:color w:val="000000"/>
                  <w:sz w:val="18"/>
                  <w:szCs w:val="18"/>
                </w:rPr>
                <w:t xml:space="preserve">-Based Therapies Prods. </w:t>
              </w:r>
              <w:proofErr w:type="spellStart"/>
              <w:r>
                <w:rPr>
                  <w:i/>
                  <w:iCs/>
                  <w:color w:val="000000"/>
                  <w:sz w:val="18"/>
                  <w:szCs w:val="18"/>
                </w:rPr>
                <w:t>Liab</w:t>
              </w:r>
              <w:proofErr w:type="spellEnd"/>
              <w:r>
                <w:rPr>
                  <w:i/>
                  <w:iCs/>
                  <w:color w:val="000000"/>
                  <w:sz w:val="18"/>
                  <w:szCs w:val="18"/>
                </w:rPr>
                <w:t xml:space="preserve">. </w:t>
              </w:r>
              <w:proofErr w:type="spellStart"/>
              <w:r>
                <w:rPr>
                  <w:i/>
                  <w:iCs/>
                  <w:color w:val="000000"/>
                  <w:sz w:val="18"/>
                  <w:szCs w:val="18"/>
                </w:rPr>
                <w:t>Litig</w:t>
              </w:r>
              <w:proofErr w:type="spellEnd"/>
              <w:proofErr w:type="gramStart"/>
              <w:r>
                <w:rPr>
                  <w:color w:val="000000"/>
                  <w:sz w:val="18"/>
                  <w:szCs w:val="18"/>
                </w:rPr>
                <w:t>.,</w:t>
              </w:r>
              <w:proofErr w:type="gramEnd"/>
              <w:r>
                <w:rPr>
                  <w:color w:val="000000"/>
                  <w:sz w:val="18"/>
                  <w:szCs w:val="18"/>
                </w:rPr>
                <w:t xml:space="preserve"> 142 F.Supp.3d at 1114</w:t>
              </w:r>
            </w:hyperlink>
            <w:r>
              <w:rPr>
                <w:color w:val="000000"/>
                <w:sz w:val="18"/>
                <w:szCs w:val="18"/>
              </w:rPr>
              <w:t>.</w:t>
            </w:r>
          </w:p>
          <w:p w14:paraId="503B49AB" w14:textId="77777777" w:rsidR="00793DC4" w:rsidRDefault="00793DC4">
            <w:pPr>
              <w:widowControl w:val="0"/>
              <w:autoSpaceDE w:val="0"/>
              <w:autoSpaceDN w:val="0"/>
              <w:adjustRightInd w:val="0"/>
              <w:jc w:val="both"/>
              <w:rPr>
                <w:color w:val="000000"/>
                <w:sz w:val="18"/>
                <w:szCs w:val="18"/>
              </w:rPr>
            </w:pPr>
          </w:p>
        </w:tc>
      </w:tr>
    </w:tbl>
    <w:p w14:paraId="6B41F621" w14:textId="77777777" w:rsidR="00793DC4" w:rsidRDefault="00793DC4">
      <w:pPr>
        <w:widowControl w:val="0"/>
        <w:autoSpaceDE w:val="0"/>
        <w:autoSpaceDN w:val="0"/>
        <w:adjustRightInd w:val="0"/>
        <w:jc w:val="both"/>
        <w:rPr>
          <w:color w:val="000000"/>
        </w:rPr>
      </w:pPr>
    </w:p>
    <w:p w14:paraId="5C8C35E4" w14:textId="77777777" w:rsidR="00793DC4" w:rsidRDefault="00793DC4">
      <w:pPr>
        <w:widowControl w:val="0"/>
        <w:autoSpaceDE w:val="0"/>
        <w:autoSpaceDN w:val="0"/>
        <w:adjustRightInd w:val="0"/>
        <w:jc w:val="both"/>
        <w:rPr>
          <w:color w:val="000000"/>
        </w:rPr>
      </w:pPr>
      <w:r>
        <w:rPr>
          <w:color w:val="000000"/>
        </w:rPr>
        <w:t xml:space="preserve">The “rule” Merck cites, however, is one of thumb rather than law. It is true that </w:t>
      </w:r>
      <w:r>
        <w:rPr>
          <w:i/>
          <w:iCs/>
          <w:color w:val="000000"/>
        </w:rPr>
        <w:t>most</w:t>
      </w:r>
      <w:r>
        <w:rPr>
          <w:color w:val="000000"/>
        </w:rPr>
        <w:t xml:space="preserve"> preemption cases present purely legal questions—for example, whether Congress intended to preempt state law, how to interpret the scope of an express preemption provision, or whether two regulatory schemes are facially incompatible. But it is equally clear that preemption can be, and sometimes must be, a fact question for the jury.</w:t>
      </w:r>
    </w:p>
    <w:p w14:paraId="09FC46DF" w14:textId="77777777" w:rsidR="00793DC4" w:rsidRDefault="00793DC4">
      <w:pPr>
        <w:widowControl w:val="0"/>
        <w:autoSpaceDE w:val="0"/>
        <w:autoSpaceDN w:val="0"/>
        <w:adjustRightInd w:val="0"/>
        <w:jc w:val="both"/>
        <w:rPr>
          <w:color w:val="000000"/>
        </w:rPr>
      </w:pPr>
      <w:r>
        <w:rPr>
          <w:color w:val="000000"/>
        </w:rPr>
        <w:t> </w:t>
      </w:r>
    </w:p>
    <w:p w14:paraId="2E3780BA" w14:textId="77777777" w:rsidR="00793DC4" w:rsidRDefault="00793DC4">
      <w:pPr>
        <w:widowControl w:val="0"/>
        <w:autoSpaceDE w:val="0"/>
        <w:autoSpaceDN w:val="0"/>
        <w:adjustRightInd w:val="0"/>
        <w:jc w:val="both"/>
        <w:rPr>
          <w:color w:val="000000"/>
          <w:sz w:val="16"/>
          <w:szCs w:val="16"/>
        </w:rPr>
      </w:pPr>
      <w:proofErr w:type="gramStart"/>
      <w:r>
        <w:rPr>
          <w:color w:val="000000"/>
        </w:rPr>
        <w:t xml:space="preserve">The Supreme Court’s opinion in </w:t>
      </w:r>
      <w:hyperlink r:id="rId323" w:history="1">
        <w:r>
          <w:rPr>
            <w:i/>
            <w:iCs/>
            <w:color w:val="000000"/>
          </w:rPr>
          <w:t>Boyle v. United Technologies Corp.</w:t>
        </w:r>
        <w:proofErr w:type="gramEnd"/>
      </w:hyperlink>
      <w:bookmarkStart w:id="216" w:name="co_footnoteReference_B01092041287330_ID0"/>
      <w:bookmarkEnd w:id="216"/>
      <w:r>
        <w:rPr>
          <w:color w:val="000000"/>
          <w:sz w:val="16"/>
          <w:szCs w:val="16"/>
        </w:rPr>
        <w:fldChar w:fldCharType="begin"/>
      </w:r>
      <w:r>
        <w:rPr>
          <w:color w:val="000000"/>
          <w:sz w:val="16"/>
          <w:szCs w:val="16"/>
        </w:rPr>
        <w:instrText xml:space="preserve">HYPERLINK "#co_footnote_B01092041287330_1" </w:instrText>
      </w:r>
      <w:r w:rsidR="00F61700">
        <w:rPr>
          <w:color w:val="000000"/>
          <w:sz w:val="16"/>
          <w:szCs w:val="16"/>
        </w:rPr>
      </w:r>
      <w:r>
        <w:rPr>
          <w:color w:val="000000"/>
          <w:sz w:val="16"/>
          <w:szCs w:val="16"/>
        </w:rPr>
        <w:fldChar w:fldCharType="separate"/>
      </w:r>
      <w:r>
        <w:rPr>
          <w:color w:val="000000"/>
          <w:sz w:val="16"/>
          <w:szCs w:val="16"/>
          <w:vertAlign w:val="superscript"/>
        </w:rPr>
        <w:t>108</w:t>
      </w:r>
      <w:r>
        <w:rPr>
          <w:color w:val="000000"/>
          <w:sz w:val="16"/>
          <w:szCs w:val="16"/>
        </w:rPr>
        <w:fldChar w:fldCharType="end"/>
      </w:r>
      <w:r>
        <w:rPr>
          <w:color w:val="000000"/>
        </w:rPr>
        <w:t xml:space="preserve"> </w:t>
      </w:r>
      <w:proofErr w:type="gramStart"/>
      <w:r>
        <w:rPr>
          <w:color w:val="000000"/>
        </w:rPr>
        <w:t>illustrates</w:t>
      </w:r>
      <w:proofErr w:type="gramEnd"/>
      <w:r>
        <w:rPr>
          <w:color w:val="000000"/>
        </w:rPr>
        <w:t xml:space="preserve"> the distinction. In </w:t>
      </w:r>
      <w:hyperlink r:id="rId324" w:history="1">
        <w:r>
          <w:rPr>
            <w:i/>
            <w:iCs/>
            <w:color w:val="000000"/>
          </w:rPr>
          <w:t>Boyle</w:t>
        </w:r>
      </w:hyperlink>
      <w:r>
        <w:rPr>
          <w:color w:val="000000"/>
        </w:rPr>
        <w:t xml:space="preserve">, as in </w:t>
      </w:r>
      <w:hyperlink r:id="rId325" w:history="1">
        <w:r>
          <w:rPr>
            <w:i/>
            <w:iCs/>
            <w:color w:val="000000"/>
          </w:rPr>
          <w:t>Wyeth</w:t>
        </w:r>
      </w:hyperlink>
      <w:r>
        <w:rPr>
          <w:color w:val="000000"/>
        </w:rPr>
        <w:t>, the Supreme Court defined the scope of conflict preemption in a particular setting and announced the factual showing that a defendant must make to prove the affirmative preemption defense. Specifically, the Court held that “[</w:t>
      </w:r>
      <w:proofErr w:type="gramStart"/>
      <w:r>
        <w:rPr>
          <w:color w:val="000000"/>
        </w:rPr>
        <w:t>l]</w:t>
      </w:r>
      <w:proofErr w:type="spellStart"/>
      <w:r>
        <w:rPr>
          <w:color w:val="000000"/>
        </w:rPr>
        <w:t>iability</w:t>
      </w:r>
      <w:proofErr w:type="spellEnd"/>
      <w:proofErr w:type="gramEnd"/>
      <w:r>
        <w:rPr>
          <w:color w:val="000000"/>
        </w:rPr>
        <w:t xml:space="preserve"> for design defects in military equipment cannot be imposed, pursuant to state law, when (1) the United States approved reasonably precise specifications; (2) the equipment conformed to those specifications; and (3) the supplier warned the United States about the dangers in the use of the equipment that were known to the supplier but not to the United States.”</w:t>
      </w:r>
      <w:bookmarkStart w:id="217" w:name="co_footnoteReference_B01102041287330_ID0"/>
      <w:bookmarkEnd w:id="217"/>
      <w:r>
        <w:rPr>
          <w:color w:val="000000"/>
          <w:sz w:val="16"/>
          <w:szCs w:val="16"/>
        </w:rPr>
        <w:fldChar w:fldCharType="begin"/>
      </w:r>
      <w:r>
        <w:rPr>
          <w:color w:val="000000"/>
          <w:sz w:val="16"/>
          <w:szCs w:val="16"/>
        </w:rPr>
        <w:instrText xml:space="preserve">HYPERLINK "#co_footnote_B01102041287330_1" </w:instrText>
      </w:r>
      <w:r w:rsidR="00F61700">
        <w:rPr>
          <w:color w:val="000000"/>
          <w:sz w:val="16"/>
          <w:szCs w:val="16"/>
        </w:rPr>
      </w:r>
      <w:r>
        <w:rPr>
          <w:color w:val="000000"/>
          <w:sz w:val="16"/>
          <w:szCs w:val="16"/>
        </w:rPr>
        <w:fldChar w:fldCharType="separate"/>
      </w:r>
      <w:r>
        <w:rPr>
          <w:color w:val="000000"/>
          <w:sz w:val="16"/>
          <w:szCs w:val="16"/>
          <w:vertAlign w:val="superscript"/>
        </w:rPr>
        <w:t>109</w:t>
      </w:r>
      <w:r>
        <w:rPr>
          <w:color w:val="000000"/>
          <w:sz w:val="16"/>
          <w:szCs w:val="16"/>
        </w:rPr>
        <w:fldChar w:fldCharType="end"/>
      </w:r>
      <w:r>
        <w:rPr>
          <w:color w:val="000000"/>
        </w:rPr>
        <w:t xml:space="preserve"> The Court clarified that “whether the facts establish the conditions for the defense is a question for the jury.”</w:t>
      </w:r>
      <w:bookmarkStart w:id="218" w:name="co_footnoteReference_B01112041287330_ID0"/>
      <w:bookmarkEnd w:id="218"/>
      <w:r>
        <w:rPr>
          <w:color w:val="000000"/>
          <w:sz w:val="16"/>
          <w:szCs w:val="16"/>
        </w:rPr>
        <w:fldChar w:fldCharType="begin"/>
      </w:r>
      <w:r>
        <w:rPr>
          <w:color w:val="000000"/>
          <w:sz w:val="16"/>
          <w:szCs w:val="16"/>
        </w:rPr>
        <w:instrText xml:space="preserve">HYPERLINK "#co_footnote_B01112041287330_1" </w:instrText>
      </w:r>
      <w:r w:rsidR="00F61700">
        <w:rPr>
          <w:color w:val="000000"/>
          <w:sz w:val="16"/>
          <w:szCs w:val="16"/>
        </w:rPr>
      </w:r>
      <w:r>
        <w:rPr>
          <w:color w:val="000000"/>
          <w:sz w:val="16"/>
          <w:szCs w:val="16"/>
        </w:rPr>
        <w:fldChar w:fldCharType="separate"/>
      </w:r>
      <w:r>
        <w:rPr>
          <w:color w:val="000000"/>
          <w:sz w:val="16"/>
          <w:szCs w:val="16"/>
          <w:vertAlign w:val="superscript"/>
        </w:rPr>
        <w:t>110</w:t>
      </w:r>
      <w:r>
        <w:rPr>
          <w:color w:val="000000"/>
          <w:sz w:val="16"/>
          <w:szCs w:val="16"/>
        </w:rPr>
        <w:fldChar w:fldCharType="end"/>
      </w:r>
      <w:r>
        <w:rPr>
          <w:color w:val="000000"/>
        </w:rPr>
        <w:t xml:space="preserve"> The proper question on summary judgment, therefore, was whether a “reasonable jury could, under the properly formulated defense, have found for the petitioner on the facts presented.”</w:t>
      </w:r>
      <w:bookmarkStart w:id="219" w:name="co_footnoteReference_B01122041287330_ID0"/>
      <w:bookmarkEnd w:id="219"/>
      <w:r>
        <w:rPr>
          <w:color w:val="000000"/>
          <w:sz w:val="16"/>
          <w:szCs w:val="16"/>
        </w:rPr>
        <w:fldChar w:fldCharType="begin"/>
      </w:r>
      <w:r>
        <w:rPr>
          <w:color w:val="000000"/>
          <w:sz w:val="16"/>
          <w:szCs w:val="16"/>
        </w:rPr>
        <w:instrText xml:space="preserve">HYPERLINK "#co_footnote_B01122041287330_1" </w:instrText>
      </w:r>
      <w:r w:rsidR="00F61700">
        <w:rPr>
          <w:color w:val="000000"/>
          <w:sz w:val="16"/>
          <w:szCs w:val="16"/>
        </w:rPr>
      </w:r>
      <w:r>
        <w:rPr>
          <w:color w:val="000000"/>
          <w:sz w:val="16"/>
          <w:szCs w:val="16"/>
        </w:rPr>
        <w:fldChar w:fldCharType="separate"/>
      </w:r>
      <w:r>
        <w:rPr>
          <w:color w:val="000000"/>
          <w:sz w:val="16"/>
          <w:szCs w:val="16"/>
          <w:vertAlign w:val="superscript"/>
        </w:rPr>
        <w:t>111</w:t>
      </w:r>
      <w:r>
        <w:rPr>
          <w:color w:val="000000"/>
          <w:sz w:val="16"/>
          <w:szCs w:val="16"/>
        </w:rPr>
        <w:fldChar w:fldCharType="end"/>
      </w:r>
      <w:r>
        <w:rPr>
          <w:color w:val="000000"/>
        </w:rPr>
        <w:t xml:space="preserve"> It would be error, the Court said, for a court to “assess</w:t>
      </w:r>
      <w:proofErr w:type="gramStart"/>
      <w:r>
        <w:rPr>
          <w:color w:val="000000"/>
        </w:rPr>
        <w:t>[ ]</w:t>
      </w:r>
      <w:proofErr w:type="gramEnd"/>
      <w:r>
        <w:rPr>
          <w:color w:val="000000"/>
        </w:rPr>
        <w:t xml:space="preserve"> on its own whether the defense had been established.”</w:t>
      </w:r>
      <w:bookmarkStart w:id="220" w:name="co_footnoteReference_B01132041287330_ID0"/>
      <w:bookmarkEnd w:id="220"/>
      <w:r>
        <w:rPr>
          <w:color w:val="000000"/>
          <w:sz w:val="16"/>
          <w:szCs w:val="16"/>
        </w:rPr>
        <w:fldChar w:fldCharType="begin"/>
      </w:r>
      <w:r>
        <w:rPr>
          <w:color w:val="000000"/>
          <w:sz w:val="16"/>
          <w:szCs w:val="16"/>
        </w:rPr>
        <w:instrText xml:space="preserve">HYPERLINK "#co_footnote_B01132041287330_1" </w:instrText>
      </w:r>
      <w:r w:rsidR="00F61700">
        <w:rPr>
          <w:color w:val="000000"/>
          <w:sz w:val="16"/>
          <w:szCs w:val="16"/>
        </w:rPr>
      </w:r>
      <w:r>
        <w:rPr>
          <w:color w:val="000000"/>
          <w:sz w:val="16"/>
          <w:szCs w:val="16"/>
        </w:rPr>
        <w:fldChar w:fldCharType="separate"/>
      </w:r>
      <w:r>
        <w:rPr>
          <w:color w:val="000000"/>
          <w:sz w:val="16"/>
          <w:szCs w:val="16"/>
          <w:vertAlign w:val="superscript"/>
        </w:rPr>
        <w:t>112</w:t>
      </w:r>
      <w:r>
        <w:rPr>
          <w:color w:val="000000"/>
          <w:sz w:val="16"/>
          <w:szCs w:val="16"/>
        </w:rPr>
        <w:fldChar w:fldCharType="end"/>
      </w:r>
    </w:p>
    <w:p w14:paraId="22521D63"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6E9C7833" w14:textId="77777777">
        <w:tblPrEx>
          <w:tblCellMar>
            <w:top w:w="0" w:type="dxa"/>
            <w:left w:w="0" w:type="dxa"/>
            <w:bottom w:w="0" w:type="dxa"/>
            <w:right w:w="0" w:type="dxa"/>
          </w:tblCellMar>
        </w:tblPrEx>
        <w:tc>
          <w:tcPr>
            <w:tcW w:w="600" w:type="dxa"/>
            <w:tcBorders>
              <w:top w:val="nil"/>
              <w:left w:val="nil"/>
              <w:bottom w:val="nil"/>
              <w:right w:val="nil"/>
            </w:tcBorders>
          </w:tcPr>
          <w:bookmarkStart w:id="221" w:name="co_footnote_B01092041287330_1"/>
          <w:bookmarkEnd w:id="221"/>
          <w:p w14:paraId="433E332F"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"#co_footnoteReference_B01092041287330_ID0" </w:instrText>
            </w:r>
            <w:r w:rsidR="00F61700">
              <w:rPr>
                <w:color w:val="000000"/>
              </w:rPr>
            </w:r>
            <w:r>
              <w:rPr>
                <w:color w:val="000000"/>
              </w:rPr>
              <w:fldChar w:fldCharType="separate"/>
            </w:r>
            <w:r>
              <w:rPr>
                <w:color w:val="000000"/>
                <w:vertAlign w:val="superscript"/>
              </w:rPr>
              <w:t>108</w:t>
            </w:r>
            <w:r>
              <w:rPr>
                <w:color w:val="000000"/>
              </w:rPr>
              <w:fldChar w:fldCharType="end"/>
            </w:r>
          </w:p>
          <w:p w14:paraId="443E7235"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2AB036D1" w14:textId="77777777" w:rsidR="00793DC4" w:rsidRDefault="00793DC4">
            <w:pPr>
              <w:widowControl w:val="0"/>
              <w:autoSpaceDE w:val="0"/>
              <w:autoSpaceDN w:val="0"/>
              <w:adjustRightInd w:val="0"/>
              <w:jc w:val="both"/>
              <w:rPr>
                <w:color w:val="000000"/>
                <w:sz w:val="18"/>
                <w:szCs w:val="18"/>
              </w:rPr>
            </w:pPr>
            <w:hyperlink r:id="rId326" w:history="1">
              <w:r>
                <w:rPr>
                  <w:color w:val="000000"/>
                  <w:sz w:val="18"/>
                  <w:szCs w:val="18"/>
                </w:rPr>
                <w:t xml:space="preserve">487 U.S. 500, 108 </w:t>
              </w:r>
              <w:proofErr w:type="spellStart"/>
              <w:r>
                <w:rPr>
                  <w:color w:val="000000"/>
                  <w:sz w:val="18"/>
                  <w:szCs w:val="18"/>
                </w:rPr>
                <w:t>S.Ct</w:t>
              </w:r>
              <w:proofErr w:type="spellEnd"/>
              <w:r>
                <w:rPr>
                  <w:color w:val="000000"/>
                  <w:sz w:val="18"/>
                  <w:szCs w:val="18"/>
                </w:rPr>
                <w:t>. 2510, 101 L.Ed.2d 442 (1988)</w:t>
              </w:r>
            </w:hyperlink>
            <w:r>
              <w:rPr>
                <w:color w:val="000000"/>
                <w:sz w:val="18"/>
                <w:szCs w:val="18"/>
              </w:rPr>
              <w:t>.</w:t>
            </w:r>
          </w:p>
          <w:p w14:paraId="4533C86B" w14:textId="77777777" w:rsidR="00793DC4" w:rsidRDefault="00793DC4">
            <w:pPr>
              <w:widowControl w:val="0"/>
              <w:autoSpaceDE w:val="0"/>
              <w:autoSpaceDN w:val="0"/>
              <w:adjustRightInd w:val="0"/>
              <w:jc w:val="both"/>
              <w:rPr>
                <w:color w:val="000000"/>
                <w:sz w:val="18"/>
                <w:szCs w:val="18"/>
              </w:rPr>
            </w:pPr>
          </w:p>
        </w:tc>
      </w:tr>
    </w:tbl>
    <w:p w14:paraId="03BC39BD"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07FCC51D" w14:textId="77777777">
        <w:tblPrEx>
          <w:tblCellMar>
            <w:top w:w="0" w:type="dxa"/>
            <w:left w:w="0" w:type="dxa"/>
            <w:bottom w:w="0" w:type="dxa"/>
            <w:right w:w="0" w:type="dxa"/>
          </w:tblCellMar>
        </w:tblPrEx>
        <w:tc>
          <w:tcPr>
            <w:tcW w:w="600" w:type="dxa"/>
            <w:tcBorders>
              <w:top w:val="nil"/>
              <w:left w:val="nil"/>
              <w:bottom w:val="nil"/>
              <w:right w:val="nil"/>
            </w:tcBorders>
          </w:tcPr>
          <w:bookmarkStart w:id="222" w:name="co_footnote_B01102041287330_1"/>
          <w:bookmarkEnd w:id="222"/>
          <w:p w14:paraId="66FFA8DA"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"#co_footnoteReference_B01102041287330_ID0" </w:instrText>
            </w:r>
            <w:r w:rsidR="00F61700">
              <w:rPr>
                <w:color w:val="000000"/>
              </w:rPr>
            </w:r>
            <w:r>
              <w:rPr>
                <w:color w:val="000000"/>
              </w:rPr>
              <w:fldChar w:fldCharType="separate"/>
            </w:r>
            <w:r>
              <w:rPr>
                <w:color w:val="000000"/>
                <w:vertAlign w:val="superscript"/>
              </w:rPr>
              <w:t>109</w:t>
            </w:r>
            <w:r>
              <w:rPr>
                <w:color w:val="000000"/>
              </w:rPr>
              <w:fldChar w:fldCharType="end"/>
            </w:r>
          </w:p>
          <w:p w14:paraId="78FD9EF0"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34C76509" w14:textId="77777777" w:rsidR="00793DC4" w:rsidRDefault="00793DC4">
            <w:pPr>
              <w:widowControl w:val="0"/>
              <w:autoSpaceDE w:val="0"/>
              <w:autoSpaceDN w:val="0"/>
              <w:adjustRightInd w:val="0"/>
              <w:jc w:val="both"/>
              <w:rPr>
                <w:color w:val="000000"/>
                <w:sz w:val="18"/>
                <w:szCs w:val="18"/>
              </w:rPr>
            </w:pPr>
            <w:hyperlink r:id="rId327" w:history="1">
              <w:r>
                <w:rPr>
                  <w:i/>
                  <w:iCs/>
                  <w:color w:val="000000"/>
                  <w:sz w:val="18"/>
                  <w:szCs w:val="18"/>
                </w:rPr>
                <w:t>Id</w:t>
              </w:r>
              <w:r>
                <w:rPr>
                  <w:color w:val="000000"/>
                  <w:sz w:val="18"/>
                  <w:szCs w:val="18"/>
                </w:rPr>
                <w:t xml:space="preserve">. at 512, 108 </w:t>
              </w:r>
              <w:proofErr w:type="spellStart"/>
              <w:r>
                <w:rPr>
                  <w:color w:val="000000"/>
                  <w:sz w:val="18"/>
                  <w:szCs w:val="18"/>
                </w:rPr>
                <w:t>S.Ct</w:t>
              </w:r>
              <w:proofErr w:type="spellEnd"/>
              <w:r>
                <w:rPr>
                  <w:color w:val="000000"/>
                  <w:sz w:val="18"/>
                  <w:szCs w:val="18"/>
                </w:rPr>
                <w:t>. 2510</w:t>
              </w:r>
            </w:hyperlink>
            <w:r>
              <w:rPr>
                <w:color w:val="000000"/>
                <w:sz w:val="18"/>
                <w:szCs w:val="18"/>
              </w:rPr>
              <w:t>.</w:t>
            </w:r>
          </w:p>
          <w:p w14:paraId="607BC9E2" w14:textId="77777777" w:rsidR="00793DC4" w:rsidRDefault="00793DC4">
            <w:pPr>
              <w:widowControl w:val="0"/>
              <w:autoSpaceDE w:val="0"/>
              <w:autoSpaceDN w:val="0"/>
              <w:adjustRightInd w:val="0"/>
              <w:jc w:val="both"/>
              <w:rPr>
                <w:color w:val="000000"/>
                <w:sz w:val="18"/>
                <w:szCs w:val="18"/>
              </w:rPr>
            </w:pPr>
          </w:p>
        </w:tc>
      </w:tr>
    </w:tbl>
    <w:p w14:paraId="07228D21"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6A101C9D" w14:textId="77777777">
        <w:tblPrEx>
          <w:tblCellMar>
            <w:top w:w="0" w:type="dxa"/>
            <w:left w:w="0" w:type="dxa"/>
            <w:bottom w:w="0" w:type="dxa"/>
            <w:right w:w="0" w:type="dxa"/>
          </w:tblCellMar>
        </w:tblPrEx>
        <w:tc>
          <w:tcPr>
            <w:tcW w:w="600" w:type="dxa"/>
            <w:tcBorders>
              <w:top w:val="nil"/>
              <w:left w:val="nil"/>
              <w:bottom w:val="nil"/>
              <w:right w:val="nil"/>
            </w:tcBorders>
          </w:tcPr>
          <w:bookmarkStart w:id="223" w:name="co_footnote_B01112041287330_1"/>
          <w:bookmarkEnd w:id="223"/>
          <w:p w14:paraId="538CE92E"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"#co_footnoteReference_B01112041287330_ID0" </w:instrText>
            </w:r>
            <w:r w:rsidR="00F61700">
              <w:rPr>
                <w:color w:val="000000"/>
              </w:rPr>
            </w:r>
            <w:r>
              <w:rPr>
                <w:color w:val="000000"/>
              </w:rPr>
              <w:fldChar w:fldCharType="separate"/>
            </w:r>
            <w:r>
              <w:rPr>
                <w:color w:val="000000"/>
                <w:vertAlign w:val="superscript"/>
              </w:rPr>
              <w:t>110</w:t>
            </w:r>
            <w:r>
              <w:rPr>
                <w:color w:val="000000"/>
              </w:rPr>
              <w:fldChar w:fldCharType="end"/>
            </w:r>
          </w:p>
          <w:p w14:paraId="5FDA5A68"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56CB39AC" w14:textId="77777777" w:rsidR="00793DC4" w:rsidRDefault="00793DC4">
            <w:pPr>
              <w:widowControl w:val="0"/>
              <w:autoSpaceDE w:val="0"/>
              <w:autoSpaceDN w:val="0"/>
              <w:adjustRightInd w:val="0"/>
              <w:jc w:val="both"/>
              <w:rPr>
                <w:color w:val="000000"/>
                <w:sz w:val="18"/>
                <w:szCs w:val="18"/>
              </w:rPr>
            </w:pPr>
            <w:hyperlink r:id="rId328" w:history="1">
              <w:r>
                <w:rPr>
                  <w:i/>
                  <w:iCs/>
                  <w:color w:val="000000"/>
                  <w:sz w:val="18"/>
                  <w:szCs w:val="18"/>
                </w:rPr>
                <w:t>Id</w:t>
              </w:r>
              <w:r>
                <w:rPr>
                  <w:color w:val="000000"/>
                  <w:sz w:val="18"/>
                  <w:szCs w:val="18"/>
                </w:rPr>
                <w:t xml:space="preserve">. at 514, 108 </w:t>
              </w:r>
              <w:proofErr w:type="spellStart"/>
              <w:r>
                <w:rPr>
                  <w:color w:val="000000"/>
                  <w:sz w:val="18"/>
                  <w:szCs w:val="18"/>
                </w:rPr>
                <w:t>S.Ct</w:t>
              </w:r>
              <w:proofErr w:type="spellEnd"/>
              <w:r>
                <w:rPr>
                  <w:color w:val="000000"/>
                  <w:sz w:val="18"/>
                  <w:szCs w:val="18"/>
                </w:rPr>
                <w:t>. 2510</w:t>
              </w:r>
            </w:hyperlink>
            <w:r>
              <w:rPr>
                <w:color w:val="000000"/>
                <w:sz w:val="18"/>
                <w:szCs w:val="18"/>
              </w:rPr>
              <w:t>.</w:t>
            </w:r>
          </w:p>
          <w:p w14:paraId="4D7058EB" w14:textId="77777777" w:rsidR="00793DC4" w:rsidRDefault="00793DC4">
            <w:pPr>
              <w:widowControl w:val="0"/>
              <w:autoSpaceDE w:val="0"/>
              <w:autoSpaceDN w:val="0"/>
              <w:adjustRightInd w:val="0"/>
              <w:jc w:val="both"/>
              <w:rPr>
                <w:color w:val="000000"/>
                <w:sz w:val="18"/>
                <w:szCs w:val="18"/>
              </w:rPr>
            </w:pPr>
          </w:p>
        </w:tc>
      </w:tr>
    </w:tbl>
    <w:p w14:paraId="0726ACCC"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5432A06A" w14:textId="77777777">
        <w:tblPrEx>
          <w:tblCellMar>
            <w:top w:w="0" w:type="dxa"/>
            <w:left w:w="0" w:type="dxa"/>
            <w:bottom w:w="0" w:type="dxa"/>
            <w:right w:w="0" w:type="dxa"/>
          </w:tblCellMar>
        </w:tblPrEx>
        <w:tc>
          <w:tcPr>
            <w:tcW w:w="600" w:type="dxa"/>
            <w:tcBorders>
              <w:top w:val="nil"/>
              <w:left w:val="nil"/>
              <w:bottom w:val="nil"/>
              <w:right w:val="nil"/>
            </w:tcBorders>
          </w:tcPr>
          <w:bookmarkStart w:id="224" w:name="co_footnote_B01122041287330_1"/>
          <w:bookmarkEnd w:id="224"/>
          <w:p w14:paraId="71BFC7F4"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"#co_footnoteReference_B01122041287330_ID0" </w:instrText>
            </w:r>
            <w:r w:rsidR="00F61700">
              <w:rPr>
                <w:color w:val="000000"/>
              </w:rPr>
            </w:r>
            <w:r>
              <w:rPr>
                <w:color w:val="000000"/>
              </w:rPr>
              <w:fldChar w:fldCharType="separate"/>
            </w:r>
            <w:r>
              <w:rPr>
                <w:color w:val="000000"/>
                <w:vertAlign w:val="superscript"/>
              </w:rPr>
              <w:t>111</w:t>
            </w:r>
            <w:r>
              <w:rPr>
                <w:color w:val="000000"/>
              </w:rPr>
              <w:fldChar w:fldCharType="end"/>
            </w:r>
          </w:p>
          <w:p w14:paraId="6566BE2B"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319A726E" w14:textId="77777777" w:rsidR="00793DC4" w:rsidRDefault="00793DC4">
            <w:pPr>
              <w:widowControl w:val="0"/>
              <w:autoSpaceDE w:val="0"/>
              <w:autoSpaceDN w:val="0"/>
              <w:adjustRightInd w:val="0"/>
              <w:jc w:val="both"/>
              <w:rPr>
                <w:color w:val="000000"/>
                <w:sz w:val="18"/>
                <w:szCs w:val="18"/>
              </w:rPr>
            </w:pPr>
            <w:hyperlink r:id="rId329" w:history="1">
              <w:r>
                <w:rPr>
                  <w:i/>
                  <w:iCs/>
                  <w:color w:val="000000"/>
                  <w:sz w:val="18"/>
                  <w:szCs w:val="18"/>
                </w:rPr>
                <w:t>Id</w:t>
              </w:r>
              <w:r>
                <w:rPr>
                  <w:color w:val="000000"/>
                  <w:sz w:val="18"/>
                  <w:szCs w:val="18"/>
                </w:rPr>
                <w:t>.</w:t>
              </w:r>
            </w:hyperlink>
          </w:p>
          <w:p w14:paraId="0D24B4A4" w14:textId="77777777" w:rsidR="00793DC4" w:rsidRDefault="00793DC4">
            <w:pPr>
              <w:widowControl w:val="0"/>
              <w:autoSpaceDE w:val="0"/>
              <w:autoSpaceDN w:val="0"/>
              <w:adjustRightInd w:val="0"/>
              <w:jc w:val="both"/>
              <w:rPr>
                <w:color w:val="000000"/>
                <w:sz w:val="18"/>
                <w:szCs w:val="18"/>
              </w:rPr>
            </w:pPr>
          </w:p>
        </w:tc>
      </w:tr>
    </w:tbl>
    <w:p w14:paraId="3540DC1F"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508486AE" w14:textId="77777777">
        <w:tblPrEx>
          <w:tblCellMar>
            <w:top w:w="0" w:type="dxa"/>
            <w:left w:w="0" w:type="dxa"/>
            <w:bottom w:w="0" w:type="dxa"/>
            <w:right w:w="0" w:type="dxa"/>
          </w:tblCellMar>
        </w:tblPrEx>
        <w:tc>
          <w:tcPr>
            <w:tcW w:w="600" w:type="dxa"/>
            <w:tcBorders>
              <w:top w:val="nil"/>
              <w:left w:val="nil"/>
              <w:bottom w:val="nil"/>
              <w:right w:val="nil"/>
            </w:tcBorders>
          </w:tcPr>
          <w:bookmarkStart w:id="225" w:name="co_footnote_B01132041287330_1"/>
          <w:bookmarkEnd w:id="225"/>
          <w:p w14:paraId="14497465"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"#co_footnoteReference_B01132041287330_ID0" </w:instrText>
            </w:r>
            <w:r w:rsidR="00F61700">
              <w:rPr>
                <w:color w:val="000000"/>
              </w:rPr>
            </w:r>
            <w:r>
              <w:rPr>
                <w:color w:val="000000"/>
              </w:rPr>
              <w:fldChar w:fldCharType="separate"/>
            </w:r>
            <w:r>
              <w:rPr>
                <w:color w:val="000000"/>
                <w:vertAlign w:val="superscript"/>
              </w:rPr>
              <w:t>112</w:t>
            </w:r>
            <w:r>
              <w:rPr>
                <w:color w:val="000000"/>
              </w:rPr>
              <w:fldChar w:fldCharType="end"/>
            </w:r>
          </w:p>
          <w:p w14:paraId="61030614"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4C0D20BB" w14:textId="77777777" w:rsidR="00793DC4" w:rsidRDefault="00793DC4">
            <w:pPr>
              <w:widowControl w:val="0"/>
              <w:autoSpaceDE w:val="0"/>
              <w:autoSpaceDN w:val="0"/>
              <w:adjustRightInd w:val="0"/>
              <w:jc w:val="both"/>
              <w:rPr>
                <w:color w:val="000000"/>
                <w:sz w:val="18"/>
                <w:szCs w:val="18"/>
              </w:rPr>
            </w:pPr>
            <w:hyperlink r:id="rId330" w:history="1">
              <w:r>
                <w:rPr>
                  <w:i/>
                  <w:iCs/>
                  <w:color w:val="000000"/>
                  <w:sz w:val="18"/>
                  <w:szCs w:val="18"/>
                </w:rPr>
                <w:t>Id</w:t>
              </w:r>
              <w:r>
                <w:rPr>
                  <w:color w:val="000000"/>
                  <w:sz w:val="18"/>
                  <w:szCs w:val="18"/>
                </w:rPr>
                <w:t>.</w:t>
              </w:r>
            </w:hyperlink>
          </w:p>
          <w:p w14:paraId="2EAD7C41" w14:textId="77777777" w:rsidR="00793DC4" w:rsidRDefault="00793DC4">
            <w:pPr>
              <w:widowControl w:val="0"/>
              <w:autoSpaceDE w:val="0"/>
              <w:autoSpaceDN w:val="0"/>
              <w:adjustRightInd w:val="0"/>
              <w:jc w:val="both"/>
              <w:rPr>
                <w:color w:val="000000"/>
                <w:sz w:val="18"/>
                <w:szCs w:val="18"/>
              </w:rPr>
            </w:pPr>
          </w:p>
        </w:tc>
      </w:tr>
    </w:tbl>
    <w:p w14:paraId="072F9C7A" w14:textId="77777777" w:rsidR="00793DC4" w:rsidRDefault="00793DC4">
      <w:pPr>
        <w:widowControl w:val="0"/>
        <w:autoSpaceDE w:val="0"/>
        <w:autoSpaceDN w:val="0"/>
        <w:adjustRightInd w:val="0"/>
        <w:jc w:val="both"/>
        <w:rPr>
          <w:color w:val="000000"/>
        </w:rPr>
      </w:pPr>
    </w:p>
    <w:p w14:paraId="4892B0F0" w14:textId="77777777" w:rsidR="00793DC4" w:rsidRDefault="00793DC4">
      <w:pPr>
        <w:widowControl w:val="0"/>
        <w:autoSpaceDE w:val="0"/>
        <w:autoSpaceDN w:val="0"/>
        <w:adjustRightInd w:val="0"/>
        <w:jc w:val="both"/>
        <w:rPr>
          <w:color w:val="000000"/>
        </w:rPr>
      </w:pPr>
      <w:r>
        <w:rPr>
          <w:color w:val="000000"/>
        </w:rPr>
        <w:t xml:space="preserve">While our court has not gone so far as to declare that any one species of preemption defense categorically requires jury </w:t>
      </w:r>
      <w:proofErr w:type="spellStart"/>
      <w:r>
        <w:rPr>
          <w:color w:val="000000"/>
        </w:rPr>
        <w:t>factfinding</w:t>
      </w:r>
      <w:proofErr w:type="spellEnd"/>
      <w:r>
        <w:rPr>
          <w:color w:val="000000"/>
        </w:rPr>
        <w:t xml:space="preserve">, we have acknowledged that the availability of the defense can turn on questions of fact. In </w:t>
      </w:r>
      <w:hyperlink r:id="rId331" w:history="1">
        <w:r>
          <w:rPr>
            <w:i/>
            <w:iCs/>
            <w:color w:val="000000"/>
          </w:rPr>
          <w:t>MD Mall Associates, LLC v. CSX Transportation, Inc</w:t>
        </w:r>
        <w:r>
          <w:rPr>
            <w:color w:val="000000"/>
          </w:rPr>
          <w:t>.,</w:t>
        </w:r>
      </w:hyperlink>
      <w:bookmarkStart w:id="226" w:name="co_footnoteReference_B01142041287330_ID0"/>
      <w:bookmarkEnd w:id="226"/>
      <w:r>
        <w:rPr>
          <w:color w:val="000000"/>
          <w:sz w:val="16"/>
          <w:szCs w:val="16"/>
        </w:rPr>
        <w:fldChar w:fldCharType="begin"/>
      </w:r>
      <w:r>
        <w:rPr>
          <w:color w:val="000000"/>
          <w:sz w:val="16"/>
          <w:szCs w:val="16"/>
        </w:rPr>
        <w:instrText xml:space="preserve">HYPERLINK "#co_footnote_B01142041287330_1" </w:instrText>
      </w:r>
      <w:r w:rsidR="00F61700">
        <w:rPr>
          <w:color w:val="000000"/>
          <w:sz w:val="16"/>
          <w:szCs w:val="16"/>
        </w:rPr>
      </w:r>
      <w:r>
        <w:rPr>
          <w:color w:val="000000"/>
          <w:sz w:val="16"/>
          <w:szCs w:val="16"/>
        </w:rPr>
        <w:fldChar w:fldCharType="separate"/>
      </w:r>
      <w:r>
        <w:rPr>
          <w:color w:val="000000"/>
          <w:sz w:val="16"/>
          <w:szCs w:val="16"/>
          <w:vertAlign w:val="superscript"/>
        </w:rPr>
        <w:t>113</w:t>
      </w:r>
      <w:r>
        <w:rPr>
          <w:color w:val="000000"/>
          <w:sz w:val="16"/>
          <w:szCs w:val="16"/>
        </w:rPr>
        <w:fldChar w:fldCharType="end"/>
      </w:r>
      <w:r>
        <w:rPr>
          <w:color w:val="000000"/>
        </w:rPr>
        <w:t xml:space="preserve"> we determined that the question of whether state-law storm water trespass claims conflicted with federal railroad-safety regulations had to be addressed “under the circumstances of this particular case.”</w:t>
      </w:r>
      <w:bookmarkStart w:id="227" w:name="co_footnoteReference_B01152041287330_ID0"/>
      <w:bookmarkEnd w:id="227"/>
      <w:r>
        <w:rPr>
          <w:color w:val="000000"/>
          <w:sz w:val="16"/>
          <w:szCs w:val="16"/>
        </w:rPr>
        <w:fldChar w:fldCharType="begin"/>
      </w:r>
      <w:r>
        <w:rPr>
          <w:color w:val="000000"/>
          <w:sz w:val="16"/>
          <w:szCs w:val="16"/>
        </w:rPr>
        <w:instrText xml:space="preserve">HYPERLINK "#co_footnote_B01152041287330_1" </w:instrText>
      </w:r>
      <w:r w:rsidR="00F61700">
        <w:rPr>
          <w:color w:val="000000"/>
          <w:sz w:val="16"/>
          <w:szCs w:val="16"/>
        </w:rPr>
      </w:r>
      <w:r>
        <w:rPr>
          <w:color w:val="000000"/>
          <w:sz w:val="16"/>
          <w:szCs w:val="16"/>
        </w:rPr>
        <w:fldChar w:fldCharType="separate"/>
      </w:r>
      <w:r>
        <w:rPr>
          <w:color w:val="000000"/>
          <w:sz w:val="16"/>
          <w:szCs w:val="16"/>
          <w:vertAlign w:val="superscript"/>
        </w:rPr>
        <w:t>114</w:t>
      </w:r>
      <w:r>
        <w:rPr>
          <w:color w:val="000000"/>
          <w:sz w:val="16"/>
          <w:szCs w:val="16"/>
        </w:rPr>
        <w:fldChar w:fldCharType="end"/>
      </w:r>
      <w:r>
        <w:rPr>
          <w:color w:val="000000"/>
        </w:rPr>
        <w:t xml:space="preserve"> We </w:t>
      </w:r>
      <w:r>
        <w:rPr>
          <w:b/>
          <w:bCs/>
          <w:color w:val="000000"/>
        </w:rPr>
        <w:t>*289</w:t>
      </w:r>
      <w:r>
        <w:rPr>
          <w:color w:val="000000"/>
        </w:rPr>
        <w:t xml:space="preserve"> therefore held that whether the defendant railroad could reasonably comply with federal drainage requirements while also complying with Pennsylvania law regarding storm water trespass “is a question of fact.”</w:t>
      </w:r>
      <w:bookmarkStart w:id="228" w:name="co_footnoteReference_B01162041287330_ID0"/>
      <w:bookmarkEnd w:id="228"/>
      <w:r>
        <w:rPr>
          <w:color w:val="000000"/>
          <w:sz w:val="16"/>
          <w:szCs w:val="16"/>
        </w:rPr>
        <w:fldChar w:fldCharType="begin"/>
      </w:r>
      <w:r>
        <w:rPr>
          <w:color w:val="000000"/>
          <w:sz w:val="16"/>
          <w:szCs w:val="16"/>
        </w:rPr>
        <w:instrText xml:space="preserve">HYPERLINK "#co_footnote_B01162041287330_1" </w:instrText>
      </w:r>
      <w:r w:rsidR="00F61700">
        <w:rPr>
          <w:color w:val="000000"/>
          <w:sz w:val="16"/>
          <w:szCs w:val="16"/>
        </w:rPr>
      </w:r>
      <w:r>
        <w:rPr>
          <w:color w:val="000000"/>
          <w:sz w:val="16"/>
          <w:szCs w:val="16"/>
        </w:rPr>
        <w:fldChar w:fldCharType="separate"/>
      </w:r>
      <w:r>
        <w:rPr>
          <w:color w:val="000000"/>
          <w:sz w:val="16"/>
          <w:szCs w:val="16"/>
          <w:vertAlign w:val="superscript"/>
        </w:rPr>
        <w:t>115</w:t>
      </w:r>
      <w:r>
        <w:rPr>
          <w:color w:val="000000"/>
          <w:sz w:val="16"/>
          <w:szCs w:val="16"/>
        </w:rPr>
        <w:fldChar w:fldCharType="end"/>
      </w:r>
      <w:r>
        <w:rPr>
          <w:color w:val="000000"/>
        </w:rPr>
        <w:t xml:space="preserve"> Having so concluded, we remanded for further development of the factual record.</w:t>
      </w:r>
    </w:p>
    <w:p w14:paraId="3E9ABF01"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4F5ABE03" w14:textId="77777777">
        <w:tblPrEx>
          <w:tblCellMar>
            <w:top w:w="0" w:type="dxa"/>
            <w:left w:w="0" w:type="dxa"/>
            <w:bottom w:w="0" w:type="dxa"/>
            <w:right w:w="0" w:type="dxa"/>
          </w:tblCellMar>
        </w:tblPrEx>
        <w:tc>
          <w:tcPr>
            <w:tcW w:w="600" w:type="dxa"/>
            <w:tcBorders>
              <w:top w:val="nil"/>
              <w:left w:val="nil"/>
              <w:bottom w:val="nil"/>
              <w:right w:val="nil"/>
            </w:tcBorders>
          </w:tcPr>
          <w:bookmarkStart w:id="229" w:name="co_footnote_B01142041287330_1"/>
          <w:bookmarkEnd w:id="229"/>
          <w:p w14:paraId="519E5EB5"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"#co_footnoteReference_B01142041287330_ID0" </w:instrText>
            </w:r>
            <w:r w:rsidR="00F61700">
              <w:rPr>
                <w:color w:val="000000"/>
              </w:rPr>
            </w:r>
            <w:r>
              <w:rPr>
                <w:color w:val="000000"/>
              </w:rPr>
              <w:fldChar w:fldCharType="separate"/>
            </w:r>
            <w:r>
              <w:rPr>
                <w:color w:val="000000"/>
                <w:vertAlign w:val="superscript"/>
              </w:rPr>
              <w:t>113</w:t>
            </w:r>
            <w:r>
              <w:rPr>
                <w:color w:val="000000"/>
              </w:rPr>
              <w:fldChar w:fldCharType="end"/>
            </w:r>
          </w:p>
          <w:p w14:paraId="43A41B52"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09B90344" w14:textId="77777777" w:rsidR="00793DC4" w:rsidRDefault="00793DC4">
            <w:pPr>
              <w:widowControl w:val="0"/>
              <w:autoSpaceDE w:val="0"/>
              <w:autoSpaceDN w:val="0"/>
              <w:adjustRightInd w:val="0"/>
              <w:jc w:val="both"/>
              <w:rPr>
                <w:color w:val="000000"/>
                <w:sz w:val="18"/>
                <w:szCs w:val="18"/>
              </w:rPr>
            </w:pPr>
            <w:hyperlink r:id="rId332" w:history="1">
              <w:r>
                <w:rPr>
                  <w:color w:val="000000"/>
                  <w:sz w:val="18"/>
                  <w:szCs w:val="18"/>
                </w:rPr>
                <w:t>715 F.3d 479 (3d Cir. 2013)</w:t>
              </w:r>
            </w:hyperlink>
            <w:r>
              <w:rPr>
                <w:color w:val="000000"/>
                <w:sz w:val="18"/>
                <w:szCs w:val="18"/>
              </w:rPr>
              <w:t>.</w:t>
            </w:r>
          </w:p>
          <w:p w14:paraId="19BEFF74" w14:textId="77777777" w:rsidR="00793DC4" w:rsidRDefault="00793DC4">
            <w:pPr>
              <w:widowControl w:val="0"/>
              <w:autoSpaceDE w:val="0"/>
              <w:autoSpaceDN w:val="0"/>
              <w:adjustRightInd w:val="0"/>
              <w:jc w:val="both"/>
              <w:rPr>
                <w:color w:val="000000"/>
                <w:sz w:val="18"/>
                <w:szCs w:val="18"/>
              </w:rPr>
            </w:pPr>
          </w:p>
        </w:tc>
      </w:tr>
    </w:tbl>
    <w:p w14:paraId="67384DC2"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119B7AF3" w14:textId="77777777">
        <w:tblPrEx>
          <w:tblCellMar>
            <w:top w:w="0" w:type="dxa"/>
            <w:left w:w="0" w:type="dxa"/>
            <w:bottom w:w="0" w:type="dxa"/>
            <w:right w:w="0" w:type="dxa"/>
          </w:tblCellMar>
        </w:tblPrEx>
        <w:tc>
          <w:tcPr>
            <w:tcW w:w="600" w:type="dxa"/>
            <w:tcBorders>
              <w:top w:val="nil"/>
              <w:left w:val="nil"/>
              <w:bottom w:val="nil"/>
              <w:right w:val="nil"/>
            </w:tcBorders>
          </w:tcPr>
          <w:bookmarkStart w:id="230" w:name="co_footnote_B01152041287330_1"/>
          <w:bookmarkEnd w:id="230"/>
          <w:p w14:paraId="760BEF0E"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"#co_footnoteReference_B01152041287330_ID0" </w:instrText>
            </w:r>
            <w:r w:rsidR="00F61700">
              <w:rPr>
                <w:color w:val="000000"/>
              </w:rPr>
            </w:r>
            <w:r>
              <w:rPr>
                <w:color w:val="000000"/>
              </w:rPr>
              <w:fldChar w:fldCharType="separate"/>
            </w:r>
            <w:r>
              <w:rPr>
                <w:color w:val="000000"/>
                <w:vertAlign w:val="superscript"/>
              </w:rPr>
              <w:t>114</w:t>
            </w:r>
            <w:r>
              <w:rPr>
                <w:color w:val="000000"/>
              </w:rPr>
              <w:fldChar w:fldCharType="end"/>
            </w:r>
          </w:p>
          <w:p w14:paraId="42DED549"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79A92C41" w14:textId="77777777" w:rsidR="00793DC4" w:rsidRDefault="00793DC4">
            <w:pPr>
              <w:widowControl w:val="0"/>
              <w:autoSpaceDE w:val="0"/>
              <w:autoSpaceDN w:val="0"/>
              <w:adjustRightInd w:val="0"/>
              <w:jc w:val="both"/>
              <w:rPr>
                <w:color w:val="000000"/>
                <w:sz w:val="18"/>
                <w:szCs w:val="18"/>
              </w:rPr>
            </w:pPr>
            <w:hyperlink r:id="rId333" w:history="1">
              <w:r>
                <w:rPr>
                  <w:i/>
                  <w:iCs/>
                  <w:color w:val="000000"/>
                  <w:sz w:val="18"/>
                  <w:szCs w:val="18"/>
                </w:rPr>
                <w:t>Id</w:t>
              </w:r>
              <w:r>
                <w:rPr>
                  <w:color w:val="000000"/>
                  <w:sz w:val="18"/>
                  <w:szCs w:val="18"/>
                </w:rPr>
                <w:t>. at 496</w:t>
              </w:r>
            </w:hyperlink>
            <w:r>
              <w:rPr>
                <w:color w:val="000000"/>
                <w:sz w:val="18"/>
                <w:szCs w:val="18"/>
              </w:rPr>
              <w:t xml:space="preserve"> (alteration omitted) (quoting </w:t>
            </w:r>
            <w:hyperlink r:id="rId334" w:history="1">
              <w:r>
                <w:rPr>
                  <w:i/>
                  <w:iCs/>
                  <w:color w:val="000000"/>
                  <w:sz w:val="18"/>
                  <w:szCs w:val="18"/>
                </w:rPr>
                <w:t>Crosby v. Nat’l Foreign Trade Council</w:t>
              </w:r>
              <w:r>
                <w:rPr>
                  <w:color w:val="000000"/>
                  <w:sz w:val="18"/>
                  <w:szCs w:val="18"/>
                </w:rPr>
                <w:t xml:space="preserve">, 530 U.S. 363, 373, 120 </w:t>
              </w:r>
              <w:proofErr w:type="spellStart"/>
              <w:r>
                <w:rPr>
                  <w:color w:val="000000"/>
                  <w:sz w:val="18"/>
                  <w:szCs w:val="18"/>
                </w:rPr>
                <w:t>S.Ct</w:t>
              </w:r>
              <w:proofErr w:type="spellEnd"/>
              <w:r>
                <w:rPr>
                  <w:color w:val="000000"/>
                  <w:sz w:val="18"/>
                  <w:szCs w:val="18"/>
                </w:rPr>
                <w:t>. 2288, 147 L.Ed.2d 352 (2000)</w:t>
              </w:r>
            </w:hyperlink>
            <w:r>
              <w:rPr>
                <w:color w:val="000000"/>
                <w:sz w:val="18"/>
                <w:szCs w:val="18"/>
              </w:rPr>
              <w:t>).</w:t>
            </w:r>
          </w:p>
          <w:p w14:paraId="6A13B88A" w14:textId="77777777" w:rsidR="00793DC4" w:rsidRDefault="00793DC4">
            <w:pPr>
              <w:widowControl w:val="0"/>
              <w:autoSpaceDE w:val="0"/>
              <w:autoSpaceDN w:val="0"/>
              <w:adjustRightInd w:val="0"/>
              <w:jc w:val="both"/>
              <w:rPr>
                <w:color w:val="000000"/>
                <w:sz w:val="18"/>
                <w:szCs w:val="18"/>
              </w:rPr>
            </w:pPr>
          </w:p>
        </w:tc>
      </w:tr>
    </w:tbl>
    <w:p w14:paraId="14C87693"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7F87CF09" w14:textId="77777777">
        <w:tblPrEx>
          <w:tblCellMar>
            <w:top w:w="0" w:type="dxa"/>
            <w:left w:w="0" w:type="dxa"/>
            <w:bottom w:w="0" w:type="dxa"/>
            <w:right w:w="0" w:type="dxa"/>
          </w:tblCellMar>
        </w:tblPrEx>
        <w:tc>
          <w:tcPr>
            <w:tcW w:w="600" w:type="dxa"/>
            <w:tcBorders>
              <w:top w:val="nil"/>
              <w:left w:val="nil"/>
              <w:bottom w:val="nil"/>
              <w:right w:val="nil"/>
            </w:tcBorders>
          </w:tcPr>
          <w:bookmarkStart w:id="231" w:name="co_footnote_B01162041287330_1"/>
          <w:bookmarkEnd w:id="231"/>
          <w:p w14:paraId="6979A504"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"#co_footnoteReference_B01162041287330_ID0" </w:instrText>
            </w:r>
            <w:r w:rsidR="00F61700">
              <w:rPr>
                <w:color w:val="000000"/>
              </w:rPr>
            </w:r>
            <w:r>
              <w:rPr>
                <w:color w:val="000000"/>
              </w:rPr>
              <w:fldChar w:fldCharType="separate"/>
            </w:r>
            <w:r>
              <w:rPr>
                <w:color w:val="000000"/>
                <w:vertAlign w:val="superscript"/>
              </w:rPr>
              <w:t>115</w:t>
            </w:r>
            <w:r>
              <w:rPr>
                <w:color w:val="000000"/>
              </w:rPr>
              <w:fldChar w:fldCharType="end"/>
            </w:r>
          </w:p>
          <w:p w14:paraId="7ABC6C75"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2999B4D3" w14:textId="77777777" w:rsidR="00793DC4" w:rsidRDefault="00793DC4">
            <w:pPr>
              <w:widowControl w:val="0"/>
              <w:autoSpaceDE w:val="0"/>
              <w:autoSpaceDN w:val="0"/>
              <w:adjustRightInd w:val="0"/>
              <w:jc w:val="both"/>
              <w:rPr>
                <w:color w:val="000000"/>
                <w:sz w:val="18"/>
                <w:szCs w:val="18"/>
              </w:rPr>
            </w:pPr>
            <w:hyperlink r:id="rId335" w:history="1">
              <w:r>
                <w:rPr>
                  <w:i/>
                  <w:iCs/>
                  <w:color w:val="000000"/>
                  <w:sz w:val="18"/>
                  <w:szCs w:val="18"/>
                </w:rPr>
                <w:t>Id</w:t>
              </w:r>
              <w:r>
                <w:rPr>
                  <w:color w:val="000000"/>
                  <w:sz w:val="18"/>
                  <w:szCs w:val="18"/>
                </w:rPr>
                <w:t>.</w:t>
              </w:r>
            </w:hyperlink>
          </w:p>
          <w:p w14:paraId="08BAC0EC" w14:textId="77777777" w:rsidR="00793DC4" w:rsidRDefault="00793DC4">
            <w:pPr>
              <w:widowControl w:val="0"/>
              <w:autoSpaceDE w:val="0"/>
              <w:autoSpaceDN w:val="0"/>
              <w:adjustRightInd w:val="0"/>
              <w:jc w:val="both"/>
              <w:rPr>
                <w:color w:val="000000"/>
                <w:sz w:val="18"/>
                <w:szCs w:val="18"/>
              </w:rPr>
            </w:pPr>
          </w:p>
        </w:tc>
      </w:tr>
    </w:tbl>
    <w:p w14:paraId="181E7A0B" w14:textId="77777777" w:rsidR="00793DC4" w:rsidRDefault="00793DC4">
      <w:pPr>
        <w:widowControl w:val="0"/>
        <w:autoSpaceDE w:val="0"/>
        <w:autoSpaceDN w:val="0"/>
        <w:adjustRightInd w:val="0"/>
        <w:jc w:val="both"/>
        <w:rPr>
          <w:color w:val="000000"/>
        </w:rPr>
      </w:pPr>
    </w:p>
    <w:p w14:paraId="643CAF84" w14:textId="77777777" w:rsidR="00793DC4" w:rsidRDefault="00793DC4">
      <w:pPr>
        <w:widowControl w:val="0"/>
        <w:autoSpaceDE w:val="0"/>
        <w:autoSpaceDN w:val="0"/>
        <w:adjustRightInd w:val="0"/>
        <w:jc w:val="both"/>
        <w:rPr>
          <w:color w:val="000000"/>
        </w:rPr>
      </w:pPr>
      <w:hyperlink r:id="rId336" w:history="1">
        <w:r>
          <w:rPr>
            <w:i/>
            <w:iCs/>
            <w:color w:val="000000"/>
          </w:rPr>
          <w:t>Boyle</w:t>
        </w:r>
      </w:hyperlink>
      <w:r>
        <w:rPr>
          <w:color w:val="000000"/>
        </w:rPr>
        <w:t xml:space="preserve"> and </w:t>
      </w:r>
      <w:hyperlink r:id="rId337" w:history="1">
        <w:r>
          <w:rPr>
            <w:i/>
            <w:iCs/>
            <w:color w:val="000000"/>
          </w:rPr>
          <w:t>MD Mall</w:t>
        </w:r>
      </w:hyperlink>
      <w:r>
        <w:rPr>
          <w:color w:val="000000"/>
        </w:rPr>
        <w:t xml:space="preserve"> confirm that the availability of a conflict preemption defense is not automatically a question of law that must be kept from the jury. The question, therefore, is whether there are independent jurisprudential or practical reasons to conclude that </w:t>
      </w:r>
      <w:hyperlink r:id="rId338" w:history="1">
        <w:r>
          <w:rPr>
            <w:i/>
            <w:iCs/>
            <w:color w:val="000000"/>
          </w:rPr>
          <w:t>Wyeth</w:t>
        </w:r>
      </w:hyperlink>
      <w:r>
        <w:rPr>
          <w:color w:val="000000"/>
        </w:rPr>
        <w:t xml:space="preserve"> preemption, specifically, requires a legal or a factual determination.</w:t>
      </w:r>
    </w:p>
    <w:p w14:paraId="07264BA6" w14:textId="77777777" w:rsidR="00793DC4" w:rsidRDefault="00793DC4">
      <w:pPr>
        <w:widowControl w:val="0"/>
        <w:autoSpaceDE w:val="0"/>
        <w:autoSpaceDN w:val="0"/>
        <w:adjustRightInd w:val="0"/>
        <w:jc w:val="both"/>
        <w:rPr>
          <w:color w:val="000000"/>
        </w:rPr>
      </w:pPr>
      <w:r>
        <w:rPr>
          <w:color w:val="000000"/>
        </w:rPr>
        <w:t> </w:t>
      </w:r>
    </w:p>
    <w:p w14:paraId="6330D9F9" w14:textId="77777777" w:rsidR="00793DC4" w:rsidRDefault="00793DC4">
      <w:pPr>
        <w:widowControl w:val="0"/>
        <w:autoSpaceDE w:val="0"/>
        <w:autoSpaceDN w:val="0"/>
        <w:adjustRightInd w:val="0"/>
        <w:spacing w:before="400" w:after="200"/>
        <w:jc w:val="center"/>
        <w:rPr>
          <w:color w:val="000000"/>
          <w:u w:val="single"/>
        </w:rPr>
      </w:pPr>
      <w:r>
        <w:rPr>
          <w:color w:val="000000"/>
        </w:rPr>
        <w:t xml:space="preserve">ii. </w:t>
      </w:r>
      <w:r>
        <w:rPr>
          <w:color w:val="000000"/>
          <w:u w:val="single"/>
        </w:rPr>
        <w:t>Whether the FDA Would Have Approved a Label Change is a Factual Question Appropriate for the Jury</w:t>
      </w:r>
    </w:p>
    <w:p w14:paraId="642707E9" w14:textId="77777777" w:rsidR="00793DC4" w:rsidRDefault="00793DC4">
      <w:pPr>
        <w:widowControl w:val="0"/>
        <w:autoSpaceDE w:val="0"/>
        <w:autoSpaceDN w:val="0"/>
        <w:adjustRightInd w:val="0"/>
        <w:jc w:val="both"/>
        <w:rPr>
          <w:color w:val="000000"/>
        </w:rPr>
      </w:pPr>
      <w:r>
        <w:rPr>
          <w:color w:val="000000"/>
        </w:rPr>
        <w:t>There are no general, hard-and-fast rules that we can use to distinguish fact questions from legal ones.</w:t>
      </w:r>
      <w:bookmarkStart w:id="232" w:name="co_footnoteReference_B01172041287330_ID0"/>
      <w:bookmarkEnd w:id="232"/>
      <w:r>
        <w:rPr>
          <w:color w:val="000000"/>
          <w:sz w:val="16"/>
          <w:szCs w:val="16"/>
        </w:rPr>
        <w:fldChar w:fldCharType="begin"/>
      </w:r>
      <w:r>
        <w:rPr>
          <w:color w:val="000000"/>
          <w:sz w:val="16"/>
          <w:szCs w:val="16"/>
        </w:rPr>
        <w:instrText xml:space="preserve">HYPERLINK "#co_footnote_B01172041287330_1" </w:instrText>
      </w:r>
      <w:r w:rsidR="00F61700">
        <w:rPr>
          <w:color w:val="000000"/>
          <w:sz w:val="16"/>
          <w:szCs w:val="16"/>
        </w:rPr>
      </w:r>
      <w:r>
        <w:rPr>
          <w:color w:val="000000"/>
          <w:sz w:val="16"/>
          <w:szCs w:val="16"/>
        </w:rPr>
        <w:fldChar w:fldCharType="separate"/>
      </w:r>
      <w:r>
        <w:rPr>
          <w:color w:val="000000"/>
          <w:sz w:val="16"/>
          <w:szCs w:val="16"/>
          <w:vertAlign w:val="superscript"/>
        </w:rPr>
        <w:t>116</w:t>
      </w:r>
      <w:r>
        <w:rPr>
          <w:color w:val="000000"/>
          <w:sz w:val="16"/>
          <w:szCs w:val="16"/>
        </w:rPr>
        <w:fldChar w:fldCharType="end"/>
      </w:r>
      <w:r>
        <w:rPr>
          <w:color w:val="000000"/>
        </w:rPr>
        <w:t xml:space="preserve"> The Supreme Court has candidly acknowledged that “the appropriate methodology for distinguishing questions of fact from questions of law has been, to say the least, elusive.”</w:t>
      </w:r>
      <w:bookmarkStart w:id="233" w:name="co_footnoteReference_B01182041287330_ID0"/>
      <w:bookmarkEnd w:id="233"/>
      <w:r>
        <w:rPr>
          <w:color w:val="000000"/>
          <w:sz w:val="16"/>
          <w:szCs w:val="16"/>
        </w:rPr>
        <w:fldChar w:fldCharType="begin"/>
      </w:r>
      <w:r>
        <w:rPr>
          <w:color w:val="000000"/>
          <w:sz w:val="16"/>
          <w:szCs w:val="16"/>
        </w:rPr>
        <w:instrText xml:space="preserve">HYPERLINK "#co_footnote_B01182041287330_1" </w:instrText>
      </w:r>
      <w:r w:rsidR="00F61700">
        <w:rPr>
          <w:color w:val="000000"/>
          <w:sz w:val="16"/>
          <w:szCs w:val="16"/>
        </w:rPr>
      </w:r>
      <w:r>
        <w:rPr>
          <w:color w:val="000000"/>
          <w:sz w:val="16"/>
          <w:szCs w:val="16"/>
        </w:rPr>
        <w:fldChar w:fldCharType="separate"/>
      </w:r>
      <w:r>
        <w:rPr>
          <w:color w:val="000000"/>
          <w:sz w:val="16"/>
          <w:szCs w:val="16"/>
          <w:vertAlign w:val="superscript"/>
        </w:rPr>
        <w:t>117</w:t>
      </w:r>
      <w:r>
        <w:rPr>
          <w:color w:val="000000"/>
          <w:sz w:val="16"/>
          <w:szCs w:val="16"/>
        </w:rPr>
        <w:fldChar w:fldCharType="end"/>
      </w:r>
      <w:r>
        <w:rPr>
          <w:color w:val="000000"/>
        </w:rPr>
        <w:t xml:space="preserve"> In the absence of a governing principle, we look to the fact/law distinctions drawn by our court in similar cases, practical considerations regarding the allocation of decision-making authority between judge and jury, and the text of </w:t>
      </w:r>
      <w:hyperlink r:id="rId339" w:history="1">
        <w:r>
          <w:rPr>
            <w:i/>
            <w:iCs/>
            <w:color w:val="000000"/>
          </w:rPr>
          <w:t>Wyeth</w:t>
        </w:r>
      </w:hyperlink>
      <w:r>
        <w:rPr>
          <w:color w:val="000000"/>
        </w:rPr>
        <w:t xml:space="preserve"> itself. What we discern from these sources is that the question at the heart of the </w:t>
      </w:r>
      <w:hyperlink r:id="rId340" w:history="1">
        <w:r>
          <w:rPr>
            <w:i/>
            <w:iCs/>
            <w:color w:val="000000"/>
          </w:rPr>
          <w:t>Wyeth</w:t>
        </w:r>
      </w:hyperlink>
      <w:r>
        <w:rPr>
          <w:color w:val="000000"/>
        </w:rPr>
        <w:t xml:space="preserve"> test—would the FDA have approved the label change plaintiffs argue was required</w:t>
      </w:r>
      <w:proofErr w:type="gramStart"/>
      <w:r>
        <w:rPr>
          <w:color w:val="000000"/>
        </w:rPr>
        <w:t>?—</w:t>
      </w:r>
      <w:proofErr w:type="gramEnd"/>
      <w:r>
        <w:rPr>
          <w:color w:val="000000"/>
        </w:rPr>
        <w:t>is little different from the type of fact questions that are routinely given to a jury.</w:t>
      </w:r>
    </w:p>
    <w:p w14:paraId="48676969"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1FDE086F" w14:textId="77777777">
        <w:tblPrEx>
          <w:tblCellMar>
            <w:top w:w="0" w:type="dxa"/>
            <w:left w:w="0" w:type="dxa"/>
            <w:bottom w:w="0" w:type="dxa"/>
            <w:right w:w="0" w:type="dxa"/>
          </w:tblCellMar>
        </w:tblPrEx>
        <w:tc>
          <w:tcPr>
            <w:tcW w:w="600" w:type="dxa"/>
            <w:tcBorders>
              <w:top w:val="nil"/>
              <w:left w:val="nil"/>
              <w:bottom w:val="nil"/>
              <w:right w:val="nil"/>
            </w:tcBorders>
          </w:tcPr>
          <w:bookmarkStart w:id="234" w:name="co_footnote_B01172041287330_1"/>
          <w:bookmarkEnd w:id="234"/>
          <w:p w14:paraId="4243ACF9"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"#co_footnoteReference_B01172041287330_ID0" </w:instrText>
            </w:r>
            <w:r w:rsidR="00F61700">
              <w:rPr>
                <w:color w:val="000000"/>
              </w:rPr>
            </w:r>
            <w:r>
              <w:rPr>
                <w:color w:val="000000"/>
              </w:rPr>
              <w:fldChar w:fldCharType="separate"/>
            </w:r>
            <w:r>
              <w:rPr>
                <w:color w:val="000000"/>
                <w:vertAlign w:val="superscript"/>
              </w:rPr>
              <w:t>116</w:t>
            </w:r>
            <w:r>
              <w:rPr>
                <w:color w:val="000000"/>
              </w:rPr>
              <w:fldChar w:fldCharType="end"/>
            </w:r>
          </w:p>
          <w:p w14:paraId="394F9F67"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3EA30F2E" w14:textId="77777777" w:rsidR="00793DC4" w:rsidRDefault="00793DC4">
            <w:pPr>
              <w:widowControl w:val="0"/>
              <w:autoSpaceDE w:val="0"/>
              <w:autoSpaceDN w:val="0"/>
              <w:adjustRightInd w:val="0"/>
              <w:jc w:val="both"/>
              <w:rPr>
                <w:color w:val="000000"/>
                <w:sz w:val="18"/>
                <w:szCs w:val="18"/>
              </w:rPr>
            </w:pPr>
            <w:r>
              <w:rPr>
                <w:i/>
                <w:iCs/>
                <w:color w:val="000000"/>
                <w:sz w:val="18"/>
                <w:szCs w:val="18"/>
              </w:rPr>
              <w:t xml:space="preserve">See </w:t>
            </w:r>
            <w:hyperlink r:id="rId341" w:history="1">
              <w:r>
                <w:rPr>
                  <w:i/>
                  <w:iCs/>
                  <w:color w:val="000000"/>
                  <w:sz w:val="18"/>
                  <w:szCs w:val="18"/>
                </w:rPr>
                <w:t xml:space="preserve">Pullman-Standard v. </w:t>
              </w:r>
              <w:proofErr w:type="spellStart"/>
              <w:r>
                <w:rPr>
                  <w:i/>
                  <w:iCs/>
                  <w:color w:val="000000"/>
                  <w:sz w:val="18"/>
                  <w:szCs w:val="18"/>
                </w:rPr>
                <w:t>Swint</w:t>
              </w:r>
              <w:proofErr w:type="spellEnd"/>
              <w:r>
                <w:rPr>
                  <w:color w:val="000000"/>
                  <w:sz w:val="18"/>
                  <w:szCs w:val="18"/>
                </w:rPr>
                <w:t xml:space="preserve">, 456 U.S. 273, 288, 102 </w:t>
              </w:r>
              <w:proofErr w:type="spellStart"/>
              <w:r>
                <w:rPr>
                  <w:color w:val="000000"/>
                  <w:sz w:val="18"/>
                  <w:szCs w:val="18"/>
                </w:rPr>
                <w:t>S.Ct</w:t>
              </w:r>
              <w:proofErr w:type="spellEnd"/>
              <w:r>
                <w:rPr>
                  <w:color w:val="000000"/>
                  <w:sz w:val="18"/>
                  <w:szCs w:val="18"/>
                </w:rPr>
                <w:t>. 1781, 72 L.Ed.2d 66 (1982)</w:t>
              </w:r>
            </w:hyperlink>
            <w:r>
              <w:rPr>
                <w:color w:val="000000"/>
                <w:sz w:val="18"/>
                <w:szCs w:val="18"/>
              </w:rPr>
              <w:t xml:space="preserve"> (the Supreme Court has not devised a “rule or principle that will unerringly distinguish a factual finding from a legal conclusion”).</w:t>
            </w:r>
          </w:p>
          <w:p w14:paraId="108A2C9C" w14:textId="77777777" w:rsidR="00793DC4" w:rsidRDefault="00793DC4">
            <w:pPr>
              <w:widowControl w:val="0"/>
              <w:autoSpaceDE w:val="0"/>
              <w:autoSpaceDN w:val="0"/>
              <w:adjustRightInd w:val="0"/>
              <w:jc w:val="both"/>
              <w:rPr>
                <w:color w:val="000000"/>
                <w:sz w:val="18"/>
                <w:szCs w:val="18"/>
              </w:rPr>
            </w:pPr>
          </w:p>
        </w:tc>
      </w:tr>
    </w:tbl>
    <w:p w14:paraId="23F640CD"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5C062C1F" w14:textId="77777777">
        <w:tblPrEx>
          <w:tblCellMar>
            <w:top w:w="0" w:type="dxa"/>
            <w:left w:w="0" w:type="dxa"/>
            <w:bottom w:w="0" w:type="dxa"/>
            <w:right w:w="0" w:type="dxa"/>
          </w:tblCellMar>
        </w:tblPrEx>
        <w:tc>
          <w:tcPr>
            <w:tcW w:w="600" w:type="dxa"/>
            <w:tcBorders>
              <w:top w:val="nil"/>
              <w:left w:val="nil"/>
              <w:bottom w:val="nil"/>
              <w:right w:val="nil"/>
            </w:tcBorders>
          </w:tcPr>
          <w:bookmarkStart w:id="235" w:name="co_footnote_B01182041287330_1"/>
          <w:bookmarkEnd w:id="235"/>
          <w:p w14:paraId="3920ADF9"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"#co_footnoteReference_B01182041287330_ID0" </w:instrText>
            </w:r>
            <w:r w:rsidR="00F61700">
              <w:rPr>
                <w:color w:val="000000"/>
              </w:rPr>
            </w:r>
            <w:r>
              <w:rPr>
                <w:color w:val="000000"/>
              </w:rPr>
              <w:fldChar w:fldCharType="separate"/>
            </w:r>
            <w:r>
              <w:rPr>
                <w:color w:val="000000"/>
                <w:vertAlign w:val="superscript"/>
              </w:rPr>
              <w:t>117</w:t>
            </w:r>
            <w:r>
              <w:rPr>
                <w:color w:val="000000"/>
              </w:rPr>
              <w:fldChar w:fldCharType="end"/>
            </w:r>
          </w:p>
          <w:p w14:paraId="35BEF775"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7A2820B6" w14:textId="77777777" w:rsidR="00793DC4" w:rsidRDefault="00793DC4">
            <w:pPr>
              <w:widowControl w:val="0"/>
              <w:autoSpaceDE w:val="0"/>
              <w:autoSpaceDN w:val="0"/>
              <w:adjustRightInd w:val="0"/>
              <w:jc w:val="both"/>
              <w:rPr>
                <w:color w:val="000000"/>
                <w:sz w:val="18"/>
                <w:szCs w:val="18"/>
              </w:rPr>
            </w:pPr>
            <w:hyperlink r:id="rId342" w:history="1">
              <w:r>
                <w:rPr>
                  <w:i/>
                  <w:iCs/>
                  <w:color w:val="000000"/>
                  <w:sz w:val="18"/>
                  <w:szCs w:val="18"/>
                </w:rPr>
                <w:t>Miller v. Fenton</w:t>
              </w:r>
              <w:r>
                <w:rPr>
                  <w:color w:val="000000"/>
                  <w:sz w:val="18"/>
                  <w:szCs w:val="18"/>
                </w:rPr>
                <w:t xml:space="preserve">, 474 U.S. 104, 113, 106 </w:t>
              </w:r>
              <w:proofErr w:type="spellStart"/>
              <w:r>
                <w:rPr>
                  <w:color w:val="000000"/>
                  <w:sz w:val="18"/>
                  <w:szCs w:val="18"/>
                </w:rPr>
                <w:t>S.Ct</w:t>
              </w:r>
              <w:proofErr w:type="spellEnd"/>
              <w:r>
                <w:rPr>
                  <w:color w:val="000000"/>
                  <w:sz w:val="18"/>
                  <w:szCs w:val="18"/>
                </w:rPr>
                <w:t>. 445, 88 L.Ed.2d 405 (1985)</w:t>
              </w:r>
            </w:hyperlink>
            <w:r>
              <w:rPr>
                <w:color w:val="000000"/>
                <w:sz w:val="18"/>
                <w:szCs w:val="18"/>
              </w:rPr>
              <w:t>.</w:t>
            </w:r>
          </w:p>
          <w:p w14:paraId="707BE4D1" w14:textId="77777777" w:rsidR="00793DC4" w:rsidRDefault="00793DC4">
            <w:pPr>
              <w:widowControl w:val="0"/>
              <w:autoSpaceDE w:val="0"/>
              <w:autoSpaceDN w:val="0"/>
              <w:adjustRightInd w:val="0"/>
              <w:jc w:val="both"/>
              <w:rPr>
                <w:color w:val="000000"/>
                <w:sz w:val="18"/>
                <w:szCs w:val="18"/>
              </w:rPr>
            </w:pPr>
          </w:p>
        </w:tc>
      </w:tr>
    </w:tbl>
    <w:p w14:paraId="73D78763" w14:textId="77777777" w:rsidR="00793DC4" w:rsidRDefault="00793DC4">
      <w:pPr>
        <w:widowControl w:val="0"/>
        <w:autoSpaceDE w:val="0"/>
        <w:autoSpaceDN w:val="0"/>
        <w:adjustRightInd w:val="0"/>
        <w:jc w:val="both"/>
        <w:rPr>
          <w:color w:val="000000"/>
        </w:rPr>
      </w:pPr>
    </w:p>
    <w:p w14:paraId="2E71D0E9" w14:textId="77777777" w:rsidR="00793DC4" w:rsidRDefault="00793DC4">
      <w:pPr>
        <w:widowControl w:val="0"/>
        <w:autoSpaceDE w:val="0"/>
        <w:autoSpaceDN w:val="0"/>
        <w:adjustRightInd w:val="0"/>
        <w:jc w:val="both"/>
        <w:rPr>
          <w:color w:val="000000"/>
        </w:rPr>
      </w:pPr>
      <w:r>
        <w:rPr>
          <w:color w:val="000000"/>
        </w:rPr>
        <w:t xml:space="preserve">At root, </w:t>
      </w:r>
      <w:hyperlink r:id="rId343" w:history="1">
        <w:r>
          <w:rPr>
            <w:i/>
            <w:iCs/>
            <w:color w:val="000000"/>
          </w:rPr>
          <w:t>Wyeth</w:t>
        </w:r>
      </w:hyperlink>
      <w:r>
        <w:rPr>
          <w:color w:val="000000"/>
        </w:rPr>
        <w:t xml:space="preserve"> requires the </w:t>
      </w:r>
      <w:proofErr w:type="spellStart"/>
      <w:r>
        <w:rPr>
          <w:color w:val="000000"/>
        </w:rPr>
        <w:t>decisionmaker</w:t>
      </w:r>
      <w:proofErr w:type="spellEnd"/>
      <w:r>
        <w:rPr>
          <w:color w:val="000000"/>
        </w:rPr>
        <w:t xml:space="preserve"> to use an existing fact record to predict the outcome of a hypothetical scenario. The question posed to the </w:t>
      </w:r>
      <w:proofErr w:type="spellStart"/>
      <w:r>
        <w:rPr>
          <w:color w:val="000000"/>
        </w:rPr>
        <w:t>decisionmaker</w:t>
      </w:r>
      <w:proofErr w:type="spellEnd"/>
      <w:r>
        <w:rPr>
          <w:color w:val="000000"/>
        </w:rPr>
        <w:t xml:space="preserve"> in this case is: based on the contemporaneous medical literature and the interactions between Merck and the FDA that actually </w:t>
      </w:r>
      <w:r>
        <w:rPr>
          <w:i/>
          <w:iCs/>
          <w:color w:val="000000"/>
        </w:rPr>
        <w:t>did</w:t>
      </w:r>
      <w:r>
        <w:rPr>
          <w:color w:val="000000"/>
        </w:rPr>
        <w:t xml:space="preserve"> happen, what </w:t>
      </w:r>
      <w:r>
        <w:rPr>
          <w:i/>
          <w:iCs/>
          <w:color w:val="000000"/>
        </w:rPr>
        <w:t>would</w:t>
      </w:r>
      <w:r>
        <w:rPr>
          <w:color w:val="000000"/>
        </w:rPr>
        <w:t xml:space="preserve"> have happened if Merck had proposed the warning plaintiffs say was required? We think this question is one of fact, for three reasons.</w:t>
      </w:r>
    </w:p>
    <w:p w14:paraId="5F683C81" w14:textId="77777777" w:rsidR="00793DC4" w:rsidRDefault="00793DC4">
      <w:pPr>
        <w:widowControl w:val="0"/>
        <w:autoSpaceDE w:val="0"/>
        <w:autoSpaceDN w:val="0"/>
        <w:adjustRightInd w:val="0"/>
        <w:jc w:val="both"/>
        <w:rPr>
          <w:color w:val="000000"/>
        </w:rPr>
      </w:pPr>
      <w:r>
        <w:rPr>
          <w:color w:val="000000"/>
        </w:rPr>
        <w:t> </w:t>
      </w:r>
    </w:p>
    <w:p w14:paraId="3CE6141A" w14:textId="77777777" w:rsidR="00793DC4" w:rsidRDefault="00793DC4">
      <w:pPr>
        <w:widowControl w:val="0"/>
        <w:autoSpaceDE w:val="0"/>
        <w:autoSpaceDN w:val="0"/>
        <w:adjustRightInd w:val="0"/>
        <w:jc w:val="both"/>
        <w:rPr>
          <w:color w:val="000000"/>
          <w:sz w:val="16"/>
          <w:szCs w:val="16"/>
        </w:rPr>
      </w:pPr>
      <w:r>
        <w:rPr>
          <w:b/>
          <w:bCs/>
          <w:i/>
          <w:iCs/>
          <w:color w:val="000000"/>
        </w:rPr>
        <w:t>First</w:t>
      </w:r>
      <w:r>
        <w:rPr>
          <w:color w:val="000000"/>
        </w:rPr>
        <w:t xml:space="preserve">, we have recognized that an assessment of the probability of a future event should generally be categorized as a finding of fact, even if that finding automatically generates a legal consequence. In </w:t>
      </w:r>
      <w:hyperlink r:id="rId344" w:history="1">
        <w:proofErr w:type="spellStart"/>
        <w:r>
          <w:rPr>
            <w:i/>
            <w:iCs/>
            <w:color w:val="000000"/>
          </w:rPr>
          <w:t>Kaplun</w:t>
        </w:r>
        <w:proofErr w:type="spellEnd"/>
        <w:r>
          <w:rPr>
            <w:i/>
            <w:iCs/>
            <w:color w:val="000000"/>
          </w:rPr>
          <w:t xml:space="preserve"> v. Attorney General of the United States</w:t>
        </w:r>
      </w:hyperlink>
      <w:r>
        <w:rPr>
          <w:color w:val="000000"/>
        </w:rPr>
        <w:t>,</w:t>
      </w:r>
      <w:bookmarkStart w:id="236" w:name="co_footnoteReference_B01192041287330_ID0"/>
      <w:bookmarkEnd w:id="236"/>
      <w:r>
        <w:rPr>
          <w:color w:val="000000"/>
          <w:sz w:val="16"/>
          <w:szCs w:val="16"/>
        </w:rPr>
        <w:fldChar w:fldCharType="begin"/>
      </w:r>
      <w:r>
        <w:rPr>
          <w:color w:val="000000"/>
          <w:sz w:val="16"/>
          <w:szCs w:val="16"/>
        </w:rPr>
        <w:instrText xml:space="preserve">HYPERLINK "#co_footnote_B01192041287330_1" </w:instrText>
      </w:r>
      <w:r w:rsidR="00F61700">
        <w:rPr>
          <w:color w:val="000000"/>
          <w:sz w:val="16"/>
          <w:szCs w:val="16"/>
        </w:rPr>
      </w:r>
      <w:r>
        <w:rPr>
          <w:color w:val="000000"/>
          <w:sz w:val="16"/>
          <w:szCs w:val="16"/>
        </w:rPr>
        <w:fldChar w:fldCharType="separate"/>
      </w:r>
      <w:r>
        <w:rPr>
          <w:color w:val="000000"/>
          <w:sz w:val="16"/>
          <w:szCs w:val="16"/>
          <w:vertAlign w:val="superscript"/>
        </w:rPr>
        <w:t>118</w:t>
      </w:r>
      <w:r>
        <w:rPr>
          <w:color w:val="000000"/>
          <w:sz w:val="16"/>
          <w:szCs w:val="16"/>
        </w:rPr>
        <w:fldChar w:fldCharType="end"/>
      </w:r>
      <w:r>
        <w:rPr>
          <w:color w:val="000000"/>
        </w:rPr>
        <w:t xml:space="preserve"> we held that a determination of the probability of future torture was a fact question subject to clear-error review. In so doing, we observed in general terms that “[a] present probability of a future event is something distinct from its legal effect that is made up of facts and actually exists but is not a tangible thing, or actual occurrence.”</w:t>
      </w:r>
      <w:bookmarkStart w:id="237" w:name="co_footnoteReference_B01202041287330_ID0"/>
      <w:bookmarkEnd w:id="237"/>
      <w:r>
        <w:rPr>
          <w:color w:val="000000"/>
          <w:sz w:val="16"/>
          <w:szCs w:val="16"/>
        </w:rPr>
        <w:fldChar w:fldCharType="begin"/>
      </w:r>
      <w:r>
        <w:rPr>
          <w:color w:val="000000"/>
          <w:sz w:val="16"/>
          <w:szCs w:val="16"/>
        </w:rPr>
        <w:instrText xml:space="preserve">HYPERLINK "#co_footnote_B01202041287330_1" </w:instrText>
      </w:r>
      <w:r w:rsidR="00F61700">
        <w:rPr>
          <w:color w:val="000000"/>
          <w:sz w:val="16"/>
          <w:szCs w:val="16"/>
        </w:rPr>
      </w:r>
      <w:r>
        <w:rPr>
          <w:color w:val="000000"/>
          <w:sz w:val="16"/>
          <w:szCs w:val="16"/>
        </w:rPr>
        <w:fldChar w:fldCharType="separate"/>
      </w:r>
      <w:r>
        <w:rPr>
          <w:color w:val="000000"/>
          <w:sz w:val="16"/>
          <w:szCs w:val="16"/>
          <w:vertAlign w:val="superscript"/>
        </w:rPr>
        <w:t>119</w:t>
      </w:r>
      <w:r>
        <w:rPr>
          <w:color w:val="000000"/>
          <w:sz w:val="16"/>
          <w:szCs w:val="16"/>
        </w:rPr>
        <w:fldChar w:fldCharType="end"/>
      </w:r>
      <w:r>
        <w:rPr>
          <w:color w:val="000000"/>
        </w:rPr>
        <w:t xml:space="preserve"> Even though the future event has not occurred, and even if the prediction as to that event’s likelihood is dispositive of a legal issue, “the likelihood itself remains a factual finding that can be made </w:t>
      </w:r>
      <w:r>
        <w:rPr>
          <w:i/>
          <w:iCs/>
          <w:color w:val="000000"/>
        </w:rPr>
        <w:t>ex ante</w:t>
      </w:r>
      <w:r>
        <w:rPr>
          <w:color w:val="000000"/>
        </w:rPr>
        <w:t xml:space="preserve"> the actual outcome.” </w:t>
      </w:r>
      <w:r>
        <w:rPr>
          <w:b/>
          <w:bCs/>
          <w:color w:val="000000"/>
        </w:rPr>
        <w:t>*290</w:t>
      </w:r>
      <w:r>
        <w:rPr>
          <w:color w:val="000000"/>
        </w:rPr>
        <w:t xml:space="preserve"> </w:t>
      </w:r>
      <w:bookmarkStart w:id="238" w:name="co_footnoteReference_B01212041287330_ID0"/>
      <w:bookmarkEnd w:id="238"/>
      <w:r>
        <w:rPr>
          <w:color w:val="000000"/>
          <w:sz w:val="16"/>
          <w:szCs w:val="16"/>
        </w:rPr>
        <w:fldChar w:fldCharType="begin"/>
      </w:r>
      <w:r>
        <w:rPr>
          <w:color w:val="000000"/>
          <w:sz w:val="16"/>
          <w:szCs w:val="16"/>
        </w:rPr>
        <w:instrText xml:space="preserve">HYPERLINK "#co_footnote_B01212041287330_1" </w:instrText>
      </w:r>
      <w:r w:rsidR="00F61700">
        <w:rPr>
          <w:color w:val="000000"/>
          <w:sz w:val="16"/>
          <w:szCs w:val="16"/>
        </w:rPr>
      </w:r>
      <w:r>
        <w:rPr>
          <w:color w:val="000000"/>
          <w:sz w:val="16"/>
          <w:szCs w:val="16"/>
        </w:rPr>
        <w:fldChar w:fldCharType="separate"/>
      </w:r>
      <w:r>
        <w:rPr>
          <w:color w:val="000000"/>
          <w:sz w:val="16"/>
          <w:szCs w:val="16"/>
          <w:vertAlign w:val="superscript"/>
        </w:rPr>
        <w:t>120</w:t>
      </w:r>
      <w:r>
        <w:rPr>
          <w:color w:val="000000"/>
          <w:sz w:val="16"/>
          <w:szCs w:val="16"/>
        </w:rPr>
        <w:fldChar w:fldCharType="end"/>
      </w:r>
      <w:r>
        <w:rPr>
          <w:color w:val="000000"/>
        </w:rPr>
        <w:t xml:space="preserve"> The </w:t>
      </w:r>
      <w:hyperlink r:id="rId345" w:history="1">
        <w:proofErr w:type="spellStart"/>
        <w:r>
          <w:rPr>
            <w:i/>
            <w:iCs/>
            <w:color w:val="000000"/>
          </w:rPr>
          <w:t>Kaplun</w:t>
        </w:r>
        <w:proofErr w:type="spellEnd"/>
      </w:hyperlink>
      <w:r>
        <w:rPr>
          <w:color w:val="000000"/>
        </w:rPr>
        <w:t xml:space="preserve"> panel cited a number of other non-immigration cases in which we or other circuits have held that inferences drawn from historical facts concerning the likelihood of future events are findings of fact, not law.</w:t>
      </w:r>
      <w:bookmarkStart w:id="239" w:name="co_footnoteReference_B01222041287330_ID0"/>
      <w:bookmarkEnd w:id="239"/>
      <w:r>
        <w:rPr>
          <w:color w:val="000000"/>
          <w:sz w:val="16"/>
          <w:szCs w:val="16"/>
        </w:rPr>
        <w:fldChar w:fldCharType="begin"/>
      </w:r>
      <w:r>
        <w:rPr>
          <w:color w:val="000000"/>
          <w:sz w:val="16"/>
          <w:szCs w:val="16"/>
        </w:rPr>
        <w:instrText xml:space="preserve">HYPERLINK "#co_footnote_B01222041287330_1" </w:instrText>
      </w:r>
      <w:r w:rsidR="00F61700">
        <w:rPr>
          <w:color w:val="000000"/>
          <w:sz w:val="16"/>
          <w:szCs w:val="16"/>
        </w:rPr>
      </w:r>
      <w:r>
        <w:rPr>
          <w:color w:val="000000"/>
          <w:sz w:val="16"/>
          <w:szCs w:val="16"/>
        </w:rPr>
        <w:fldChar w:fldCharType="separate"/>
      </w:r>
      <w:r>
        <w:rPr>
          <w:color w:val="000000"/>
          <w:sz w:val="16"/>
          <w:szCs w:val="16"/>
          <w:vertAlign w:val="superscript"/>
        </w:rPr>
        <w:t>121</w:t>
      </w:r>
      <w:r>
        <w:rPr>
          <w:color w:val="000000"/>
          <w:sz w:val="16"/>
          <w:szCs w:val="16"/>
        </w:rPr>
        <w:fldChar w:fldCharType="end"/>
      </w:r>
      <w:r>
        <w:rPr>
          <w:color w:val="000000"/>
        </w:rPr>
        <w:t xml:space="preserve"> Here, the corresponding conclusion is that the task of assessing the probability that the FDA would have rejected a particular warning is a factual inquiry rather than a legal one.</w:t>
      </w:r>
      <w:bookmarkStart w:id="240" w:name="co_footnoteReference_B01232041287330_ID0"/>
      <w:bookmarkEnd w:id="240"/>
      <w:r>
        <w:rPr>
          <w:color w:val="000000"/>
          <w:sz w:val="16"/>
          <w:szCs w:val="16"/>
        </w:rPr>
        <w:fldChar w:fldCharType="begin"/>
      </w:r>
      <w:r>
        <w:rPr>
          <w:color w:val="000000"/>
          <w:sz w:val="16"/>
          <w:szCs w:val="16"/>
        </w:rPr>
        <w:instrText xml:space="preserve">HYPERLINK "#co_footnote_B01232041287330_1" </w:instrText>
      </w:r>
      <w:r w:rsidR="00F61700">
        <w:rPr>
          <w:color w:val="000000"/>
          <w:sz w:val="16"/>
          <w:szCs w:val="16"/>
        </w:rPr>
      </w:r>
      <w:r>
        <w:rPr>
          <w:color w:val="000000"/>
          <w:sz w:val="16"/>
          <w:szCs w:val="16"/>
        </w:rPr>
        <w:fldChar w:fldCharType="separate"/>
      </w:r>
      <w:r>
        <w:rPr>
          <w:color w:val="000000"/>
          <w:sz w:val="16"/>
          <w:szCs w:val="16"/>
          <w:vertAlign w:val="superscript"/>
        </w:rPr>
        <w:t>122</w:t>
      </w:r>
      <w:r>
        <w:rPr>
          <w:color w:val="000000"/>
          <w:sz w:val="16"/>
          <w:szCs w:val="16"/>
        </w:rPr>
        <w:fldChar w:fldCharType="end"/>
      </w:r>
    </w:p>
    <w:p w14:paraId="619E1138"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25F93830" w14:textId="77777777">
        <w:tblPrEx>
          <w:tblCellMar>
            <w:top w:w="0" w:type="dxa"/>
            <w:left w:w="0" w:type="dxa"/>
            <w:bottom w:w="0" w:type="dxa"/>
            <w:right w:w="0" w:type="dxa"/>
          </w:tblCellMar>
        </w:tblPrEx>
        <w:tc>
          <w:tcPr>
            <w:tcW w:w="600" w:type="dxa"/>
            <w:tcBorders>
              <w:top w:val="nil"/>
              <w:left w:val="nil"/>
              <w:bottom w:val="nil"/>
              <w:right w:val="nil"/>
            </w:tcBorders>
          </w:tcPr>
          <w:bookmarkStart w:id="241" w:name="co_footnote_B01192041287330_1"/>
          <w:bookmarkEnd w:id="241"/>
          <w:p w14:paraId="08078124"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"#co_footnoteReference_B01192041287330_ID0" </w:instrText>
            </w:r>
            <w:r w:rsidR="00F61700">
              <w:rPr>
                <w:color w:val="000000"/>
              </w:rPr>
            </w:r>
            <w:r>
              <w:rPr>
                <w:color w:val="000000"/>
              </w:rPr>
              <w:fldChar w:fldCharType="separate"/>
            </w:r>
            <w:r>
              <w:rPr>
                <w:color w:val="000000"/>
                <w:vertAlign w:val="superscript"/>
              </w:rPr>
              <w:t>118</w:t>
            </w:r>
            <w:r>
              <w:rPr>
                <w:color w:val="000000"/>
              </w:rPr>
              <w:fldChar w:fldCharType="end"/>
            </w:r>
          </w:p>
          <w:p w14:paraId="22F1F5DB"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377199BE" w14:textId="77777777" w:rsidR="00793DC4" w:rsidRDefault="00793DC4">
            <w:pPr>
              <w:widowControl w:val="0"/>
              <w:autoSpaceDE w:val="0"/>
              <w:autoSpaceDN w:val="0"/>
              <w:adjustRightInd w:val="0"/>
              <w:jc w:val="both"/>
              <w:rPr>
                <w:color w:val="000000"/>
                <w:sz w:val="18"/>
                <w:szCs w:val="18"/>
              </w:rPr>
            </w:pPr>
            <w:hyperlink r:id="rId346" w:history="1">
              <w:r>
                <w:rPr>
                  <w:color w:val="000000"/>
                  <w:sz w:val="18"/>
                  <w:szCs w:val="18"/>
                </w:rPr>
                <w:t>602 F.3d 260, 269 (3d Cir. 2010)</w:t>
              </w:r>
            </w:hyperlink>
            <w:r>
              <w:rPr>
                <w:color w:val="000000"/>
                <w:sz w:val="18"/>
                <w:szCs w:val="18"/>
              </w:rPr>
              <w:t>.</w:t>
            </w:r>
          </w:p>
          <w:p w14:paraId="1C23D6EE" w14:textId="77777777" w:rsidR="00793DC4" w:rsidRDefault="00793DC4">
            <w:pPr>
              <w:widowControl w:val="0"/>
              <w:autoSpaceDE w:val="0"/>
              <w:autoSpaceDN w:val="0"/>
              <w:adjustRightInd w:val="0"/>
              <w:jc w:val="both"/>
              <w:rPr>
                <w:color w:val="000000"/>
                <w:sz w:val="18"/>
                <w:szCs w:val="18"/>
              </w:rPr>
            </w:pPr>
          </w:p>
        </w:tc>
      </w:tr>
    </w:tbl>
    <w:p w14:paraId="64ED471A"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3B5F26CE" w14:textId="77777777">
        <w:tblPrEx>
          <w:tblCellMar>
            <w:top w:w="0" w:type="dxa"/>
            <w:left w:w="0" w:type="dxa"/>
            <w:bottom w:w="0" w:type="dxa"/>
            <w:right w:w="0" w:type="dxa"/>
          </w:tblCellMar>
        </w:tblPrEx>
        <w:tc>
          <w:tcPr>
            <w:tcW w:w="600" w:type="dxa"/>
            <w:tcBorders>
              <w:top w:val="nil"/>
              <w:left w:val="nil"/>
              <w:bottom w:val="nil"/>
              <w:right w:val="nil"/>
            </w:tcBorders>
          </w:tcPr>
          <w:bookmarkStart w:id="242" w:name="co_footnote_B01202041287330_1"/>
          <w:bookmarkEnd w:id="242"/>
          <w:p w14:paraId="7DCD9D16"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"#co_footnoteReference_B01202041287330_ID0" </w:instrText>
            </w:r>
            <w:r w:rsidR="00F61700">
              <w:rPr>
                <w:color w:val="000000"/>
              </w:rPr>
            </w:r>
            <w:r>
              <w:rPr>
                <w:color w:val="000000"/>
              </w:rPr>
              <w:fldChar w:fldCharType="separate"/>
            </w:r>
            <w:r>
              <w:rPr>
                <w:color w:val="000000"/>
                <w:vertAlign w:val="superscript"/>
              </w:rPr>
              <w:t>119</w:t>
            </w:r>
            <w:r>
              <w:rPr>
                <w:color w:val="000000"/>
              </w:rPr>
              <w:fldChar w:fldCharType="end"/>
            </w:r>
          </w:p>
          <w:p w14:paraId="541063BB"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13CED7D3" w14:textId="77777777" w:rsidR="00793DC4" w:rsidRDefault="00793DC4">
            <w:pPr>
              <w:widowControl w:val="0"/>
              <w:autoSpaceDE w:val="0"/>
              <w:autoSpaceDN w:val="0"/>
              <w:adjustRightInd w:val="0"/>
              <w:jc w:val="both"/>
              <w:rPr>
                <w:color w:val="000000"/>
                <w:sz w:val="18"/>
                <w:szCs w:val="18"/>
              </w:rPr>
            </w:pPr>
            <w:hyperlink r:id="rId347" w:history="1">
              <w:r>
                <w:rPr>
                  <w:i/>
                  <w:iCs/>
                  <w:color w:val="000000"/>
                  <w:sz w:val="18"/>
                  <w:szCs w:val="18"/>
                </w:rPr>
                <w:t>Id</w:t>
              </w:r>
              <w:r>
                <w:rPr>
                  <w:color w:val="000000"/>
                  <w:sz w:val="18"/>
                  <w:szCs w:val="18"/>
                </w:rPr>
                <w:t>. at 269</w:t>
              </w:r>
            </w:hyperlink>
            <w:r>
              <w:rPr>
                <w:color w:val="000000"/>
                <w:sz w:val="18"/>
                <w:szCs w:val="18"/>
              </w:rPr>
              <w:t xml:space="preserve"> (alterations and internal quotations omitted).</w:t>
            </w:r>
          </w:p>
          <w:p w14:paraId="013A79CC" w14:textId="77777777" w:rsidR="00793DC4" w:rsidRDefault="00793DC4">
            <w:pPr>
              <w:widowControl w:val="0"/>
              <w:autoSpaceDE w:val="0"/>
              <w:autoSpaceDN w:val="0"/>
              <w:adjustRightInd w:val="0"/>
              <w:jc w:val="both"/>
              <w:rPr>
                <w:color w:val="000000"/>
                <w:sz w:val="18"/>
                <w:szCs w:val="18"/>
              </w:rPr>
            </w:pPr>
          </w:p>
        </w:tc>
      </w:tr>
    </w:tbl>
    <w:p w14:paraId="4C60804F"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58622F93" w14:textId="77777777">
        <w:tblPrEx>
          <w:tblCellMar>
            <w:top w:w="0" w:type="dxa"/>
            <w:left w:w="0" w:type="dxa"/>
            <w:bottom w:w="0" w:type="dxa"/>
            <w:right w:w="0" w:type="dxa"/>
          </w:tblCellMar>
        </w:tblPrEx>
        <w:tc>
          <w:tcPr>
            <w:tcW w:w="600" w:type="dxa"/>
            <w:tcBorders>
              <w:top w:val="nil"/>
              <w:left w:val="nil"/>
              <w:bottom w:val="nil"/>
              <w:right w:val="nil"/>
            </w:tcBorders>
          </w:tcPr>
          <w:bookmarkStart w:id="243" w:name="co_footnote_B01212041287330_1"/>
          <w:bookmarkEnd w:id="243"/>
          <w:p w14:paraId="2D2722FA"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"#co_footnoteReference_B01212041287330_ID0" </w:instrText>
            </w:r>
            <w:r w:rsidR="00F61700">
              <w:rPr>
                <w:color w:val="000000"/>
              </w:rPr>
            </w:r>
            <w:r>
              <w:rPr>
                <w:color w:val="000000"/>
              </w:rPr>
              <w:fldChar w:fldCharType="separate"/>
            </w:r>
            <w:r>
              <w:rPr>
                <w:color w:val="000000"/>
                <w:vertAlign w:val="superscript"/>
              </w:rPr>
              <w:t>120</w:t>
            </w:r>
            <w:r>
              <w:rPr>
                <w:color w:val="000000"/>
              </w:rPr>
              <w:fldChar w:fldCharType="end"/>
            </w:r>
          </w:p>
          <w:p w14:paraId="5175A736"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299CAD04" w14:textId="77777777" w:rsidR="00793DC4" w:rsidRDefault="00793DC4">
            <w:pPr>
              <w:widowControl w:val="0"/>
              <w:autoSpaceDE w:val="0"/>
              <w:autoSpaceDN w:val="0"/>
              <w:adjustRightInd w:val="0"/>
              <w:jc w:val="both"/>
              <w:rPr>
                <w:color w:val="000000"/>
                <w:sz w:val="18"/>
                <w:szCs w:val="18"/>
              </w:rPr>
            </w:pPr>
            <w:hyperlink r:id="rId348" w:history="1">
              <w:r>
                <w:rPr>
                  <w:i/>
                  <w:iCs/>
                  <w:color w:val="000000"/>
                  <w:sz w:val="18"/>
                  <w:szCs w:val="18"/>
                </w:rPr>
                <w:t>Id</w:t>
              </w:r>
              <w:r>
                <w:rPr>
                  <w:color w:val="000000"/>
                  <w:sz w:val="18"/>
                  <w:szCs w:val="18"/>
                </w:rPr>
                <w:t>. at 269-70</w:t>
              </w:r>
            </w:hyperlink>
            <w:r>
              <w:rPr>
                <w:color w:val="000000"/>
                <w:sz w:val="18"/>
                <w:szCs w:val="18"/>
              </w:rPr>
              <w:t xml:space="preserve">. In other words, the likelihood of an event occurring “is what a decision-maker in an adjudicatory system decides now as part of a factual framework for determining legal effect.” </w:t>
            </w:r>
            <w:hyperlink r:id="rId349" w:history="1">
              <w:r>
                <w:rPr>
                  <w:i/>
                  <w:iCs/>
                  <w:color w:val="000000"/>
                  <w:sz w:val="18"/>
                  <w:szCs w:val="18"/>
                </w:rPr>
                <w:t>Id</w:t>
              </w:r>
              <w:r>
                <w:rPr>
                  <w:color w:val="000000"/>
                  <w:sz w:val="18"/>
                  <w:szCs w:val="18"/>
                </w:rPr>
                <w:t>. at 269</w:t>
              </w:r>
            </w:hyperlink>
            <w:r>
              <w:rPr>
                <w:color w:val="000000"/>
                <w:sz w:val="18"/>
                <w:szCs w:val="18"/>
              </w:rPr>
              <w:t>.</w:t>
            </w:r>
          </w:p>
          <w:p w14:paraId="7AA64997" w14:textId="77777777" w:rsidR="00793DC4" w:rsidRDefault="00793DC4">
            <w:pPr>
              <w:widowControl w:val="0"/>
              <w:autoSpaceDE w:val="0"/>
              <w:autoSpaceDN w:val="0"/>
              <w:adjustRightInd w:val="0"/>
              <w:jc w:val="both"/>
              <w:rPr>
                <w:color w:val="000000"/>
                <w:sz w:val="18"/>
                <w:szCs w:val="18"/>
              </w:rPr>
            </w:pPr>
          </w:p>
        </w:tc>
      </w:tr>
    </w:tbl>
    <w:p w14:paraId="49C7EED9"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6637C923" w14:textId="77777777">
        <w:tblPrEx>
          <w:tblCellMar>
            <w:top w:w="0" w:type="dxa"/>
            <w:left w:w="0" w:type="dxa"/>
            <w:bottom w:w="0" w:type="dxa"/>
            <w:right w:w="0" w:type="dxa"/>
          </w:tblCellMar>
        </w:tblPrEx>
        <w:tc>
          <w:tcPr>
            <w:tcW w:w="600" w:type="dxa"/>
            <w:tcBorders>
              <w:top w:val="nil"/>
              <w:left w:val="nil"/>
              <w:bottom w:val="nil"/>
              <w:right w:val="nil"/>
            </w:tcBorders>
          </w:tcPr>
          <w:bookmarkStart w:id="244" w:name="co_footnote_B01222041287330_1"/>
          <w:bookmarkEnd w:id="244"/>
          <w:p w14:paraId="1622C982"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"#co_footnoteReference_B01222041287330_ID0" </w:instrText>
            </w:r>
            <w:r w:rsidR="00F61700">
              <w:rPr>
                <w:color w:val="000000"/>
              </w:rPr>
            </w:r>
            <w:r>
              <w:rPr>
                <w:color w:val="000000"/>
              </w:rPr>
              <w:fldChar w:fldCharType="separate"/>
            </w:r>
            <w:r>
              <w:rPr>
                <w:color w:val="000000"/>
                <w:vertAlign w:val="superscript"/>
              </w:rPr>
              <w:t>121</w:t>
            </w:r>
            <w:r>
              <w:rPr>
                <w:color w:val="000000"/>
              </w:rPr>
              <w:fldChar w:fldCharType="end"/>
            </w:r>
          </w:p>
          <w:p w14:paraId="4F994F6D"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4788E236" w14:textId="77777777" w:rsidR="00793DC4" w:rsidRDefault="00793DC4">
            <w:pPr>
              <w:widowControl w:val="0"/>
              <w:autoSpaceDE w:val="0"/>
              <w:autoSpaceDN w:val="0"/>
              <w:adjustRightInd w:val="0"/>
              <w:jc w:val="both"/>
              <w:rPr>
                <w:color w:val="000000"/>
                <w:sz w:val="18"/>
                <w:szCs w:val="18"/>
              </w:rPr>
            </w:pPr>
            <w:r>
              <w:rPr>
                <w:i/>
                <w:iCs/>
                <w:color w:val="000000"/>
                <w:sz w:val="18"/>
                <w:szCs w:val="18"/>
              </w:rPr>
              <w:t xml:space="preserve">See </w:t>
            </w:r>
            <w:hyperlink r:id="rId350" w:history="1">
              <w:r>
                <w:rPr>
                  <w:i/>
                  <w:iCs/>
                  <w:color w:val="000000"/>
                  <w:sz w:val="18"/>
                  <w:szCs w:val="18"/>
                </w:rPr>
                <w:t>United States v. Stewart</w:t>
              </w:r>
              <w:r>
                <w:rPr>
                  <w:color w:val="000000"/>
                  <w:sz w:val="18"/>
                  <w:szCs w:val="18"/>
                </w:rPr>
                <w:t>, 452 F.3d 266, 273 (3d Cir. 2006)</w:t>
              </w:r>
            </w:hyperlink>
            <w:r>
              <w:rPr>
                <w:color w:val="000000"/>
                <w:sz w:val="18"/>
                <w:szCs w:val="18"/>
              </w:rPr>
              <w:t xml:space="preserve"> (whether the release of an individual creates a substantial risk of future danger to society is a finding of fact); </w:t>
            </w:r>
            <w:hyperlink r:id="rId351" w:history="1">
              <w:r>
                <w:rPr>
                  <w:i/>
                  <w:iCs/>
                  <w:color w:val="000000"/>
                  <w:sz w:val="18"/>
                  <w:szCs w:val="18"/>
                </w:rPr>
                <w:t>Martin v. Cooper Elec. Supply Co</w:t>
              </w:r>
              <w:r>
                <w:rPr>
                  <w:color w:val="000000"/>
                  <w:sz w:val="18"/>
                  <w:szCs w:val="18"/>
                </w:rPr>
                <w:t>., 940 F.2d 896, 900 (3d Cir. 1991)</w:t>
              </w:r>
            </w:hyperlink>
            <w:r>
              <w:rPr>
                <w:color w:val="000000"/>
                <w:sz w:val="18"/>
                <w:szCs w:val="18"/>
              </w:rPr>
              <w:t xml:space="preserve"> (inferences from historical facts are factual findings reviewed for clear error); </w:t>
            </w:r>
            <w:hyperlink r:id="rId352" w:history="1">
              <w:proofErr w:type="spellStart"/>
              <w:r>
                <w:rPr>
                  <w:i/>
                  <w:iCs/>
                  <w:color w:val="000000"/>
                  <w:sz w:val="18"/>
                  <w:szCs w:val="18"/>
                </w:rPr>
                <w:t>Onishea</w:t>
              </w:r>
              <w:proofErr w:type="spellEnd"/>
              <w:r>
                <w:rPr>
                  <w:i/>
                  <w:iCs/>
                  <w:color w:val="000000"/>
                  <w:sz w:val="18"/>
                  <w:szCs w:val="18"/>
                </w:rPr>
                <w:t xml:space="preserve"> v. Hopper</w:t>
              </w:r>
              <w:r>
                <w:rPr>
                  <w:color w:val="000000"/>
                  <w:sz w:val="18"/>
                  <w:szCs w:val="18"/>
                </w:rPr>
                <w:t>, 171 F.3d 1289, 1300-01 (11th Cir. 1999)</w:t>
              </w:r>
            </w:hyperlink>
            <w:r>
              <w:rPr>
                <w:color w:val="000000"/>
                <w:sz w:val="18"/>
                <w:szCs w:val="18"/>
              </w:rPr>
              <w:t xml:space="preserve"> (en banc) (district court’s finding as to the risk of future prison violence based on conflicting evidence was a factual determination reviewed for clear error).</w:t>
            </w:r>
          </w:p>
          <w:p w14:paraId="695B14BF" w14:textId="77777777" w:rsidR="00793DC4" w:rsidRDefault="00793DC4">
            <w:pPr>
              <w:widowControl w:val="0"/>
              <w:autoSpaceDE w:val="0"/>
              <w:autoSpaceDN w:val="0"/>
              <w:adjustRightInd w:val="0"/>
              <w:jc w:val="both"/>
              <w:rPr>
                <w:color w:val="000000"/>
                <w:sz w:val="18"/>
                <w:szCs w:val="18"/>
              </w:rPr>
            </w:pPr>
          </w:p>
        </w:tc>
      </w:tr>
    </w:tbl>
    <w:p w14:paraId="052C372F"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6A08FB77" w14:textId="77777777">
        <w:tblPrEx>
          <w:tblCellMar>
            <w:top w:w="0" w:type="dxa"/>
            <w:left w:w="0" w:type="dxa"/>
            <w:bottom w:w="0" w:type="dxa"/>
            <w:right w:w="0" w:type="dxa"/>
          </w:tblCellMar>
        </w:tblPrEx>
        <w:tc>
          <w:tcPr>
            <w:tcW w:w="600" w:type="dxa"/>
            <w:tcBorders>
              <w:top w:val="nil"/>
              <w:left w:val="nil"/>
              <w:bottom w:val="nil"/>
              <w:right w:val="nil"/>
            </w:tcBorders>
          </w:tcPr>
          <w:bookmarkStart w:id="245" w:name="co_footnote_B01232041287330_1"/>
          <w:bookmarkEnd w:id="245"/>
          <w:p w14:paraId="0C4DB608"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"#co_footnoteReference_B01232041287330_ID0" </w:instrText>
            </w:r>
            <w:r w:rsidR="00F61700">
              <w:rPr>
                <w:color w:val="000000"/>
              </w:rPr>
            </w:r>
            <w:r>
              <w:rPr>
                <w:color w:val="000000"/>
              </w:rPr>
              <w:fldChar w:fldCharType="separate"/>
            </w:r>
            <w:r>
              <w:rPr>
                <w:color w:val="000000"/>
                <w:vertAlign w:val="superscript"/>
              </w:rPr>
              <w:t>122</w:t>
            </w:r>
            <w:r>
              <w:rPr>
                <w:color w:val="000000"/>
              </w:rPr>
              <w:fldChar w:fldCharType="end"/>
            </w:r>
          </w:p>
          <w:p w14:paraId="1C4D0DFA"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531DE4B8" w14:textId="77777777" w:rsidR="00793DC4" w:rsidRDefault="00793DC4">
            <w:pPr>
              <w:widowControl w:val="0"/>
              <w:autoSpaceDE w:val="0"/>
              <w:autoSpaceDN w:val="0"/>
              <w:adjustRightInd w:val="0"/>
              <w:jc w:val="both"/>
              <w:rPr>
                <w:color w:val="000000"/>
                <w:sz w:val="18"/>
                <w:szCs w:val="18"/>
              </w:rPr>
            </w:pPr>
            <w:r>
              <w:rPr>
                <w:color w:val="000000"/>
                <w:sz w:val="18"/>
                <w:szCs w:val="18"/>
              </w:rPr>
              <w:t xml:space="preserve">We recognize that the </w:t>
            </w:r>
            <w:hyperlink r:id="rId353" w:history="1">
              <w:r>
                <w:rPr>
                  <w:i/>
                  <w:iCs/>
                  <w:color w:val="000000"/>
                  <w:sz w:val="18"/>
                  <w:szCs w:val="18"/>
                </w:rPr>
                <w:t>Wyeth</w:t>
              </w:r>
            </w:hyperlink>
            <w:r>
              <w:rPr>
                <w:color w:val="000000"/>
                <w:sz w:val="18"/>
                <w:szCs w:val="18"/>
              </w:rPr>
              <w:t xml:space="preserve"> test is something of an oddity. In a typical case, the historical facts are in dispute and the jury is tasked with figuring out what actually happened. In the case before us, the historical facts are largely undisputed, and the primary disputed fact is the ultimate fact of what </w:t>
            </w:r>
            <w:r>
              <w:rPr>
                <w:i/>
                <w:iCs/>
                <w:color w:val="000000"/>
                <w:sz w:val="18"/>
                <w:szCs w:val="18"/>
              </w:rPr>
              <w:t>would</w:t>
            </w:r>
            <w:r>
              <w:rPr>
                <w:color w:val="000000"/>
                <w:sz w:val="18"/>
                <w:szCs w:val="18"/>
              </w:rPr>
              <w:t xml:space="preserve"> have happened. This fact is in turn wholly determinative of the legal question. The law is clear, however, that “an issue does not lose its factual character merely because its resolution is dispositive of the ultimate constitutional question.” </w:t>
            </w:r>
            <w:hyperlink r:id="rId354" w:history="1">
              <w:r>
                <w:rPr>
                  <w:i/>
                  <w:iCs/>
                  <w:color w:val="000000"/>
                  <w:sz w:val="18"/>
                  <w:szCs w:val="18"/>
                </w:rPr>
                <w:t>Miller</w:t>
              </w:r>
              <w:r>
                <w:rPr>
                  <w:color w:val="000000"/>
                  <w:sz w:val="18"/>
                  <w:szCs w:val="18"/>
                </w:rPr>
                <w:t xml:space="preserve">, 474 U.S. at 113, 106 </w:t>
              </w:r>
              <w:proofErr w:type="spellStart"/>
              <w:r>
                <w:rPr>
                  <w:color w:val="000000"/>
                  <w:sz w:val="18"/>
                  <w:szCs w:val="18"/>
                </w:rPr>
                <w:t>S.Ct</w:t>
              </w:r>
              <w:proofErr w:type="spellEnd"/>
              <w:r>
                <w:rPr>
                  <w:color w:val="000000"/>
                  <w:sz w:val="18"/>
                  <w:szCs w:val="18"/>
                </w:rPr>
                <w:t>. 445</w:t>
              </w:r>
            </w:hyperlink>
            <w:r>
              <w:rPr>
                <w:color w:val="000000"/>
                <w:sz w:val="18"/>
                <w:szCs w:val="18"/>
              </w:rPr>
              <w:t xml:space="preserve">. That is the same basic conclusion we reached in </w:t>
            </w:r>
            <w:hyperlink r:id="rId355" w:history="1">
              <w:proofErr w:type="spellStart"/>
              <w:r>
                <w:rPr>
                  <w:i/>
                  <w:iCs/>
                  <w:color w:val="000000"/>
                  <w:sz w:val="18"/>
                  <w:szCs w:val="18"/>
                </w:rPr>
                <w:t>Kaplun</w:t>
              </w:r>
              <w:proofErr w:type="spellEnd"/>
            </w:hyperlink>
            <w:r>
              <w:rPr>
                <w:color w:val="000000"/>
                <w:sz w:val="18"/>
                <w:szCs w:val="18"/>
              </w:rPr>
              <w:t>: just because a fact finding completely resolves a legal issue does not alter its fundamentally “factual” character.</w:t>
            </w:r>
          </w:p>
          <w:p w14:paraId="3CDC49D3" w14:textId="77777777" w:rsidR="00793DC4" w:rsidRDefault="00793DC4">
            <w:pPr>
              <w:widowControl w:val="0"/>
              <w:autoSpaceDE w:val="0"/>
              <w:autoSpaceDN w:val="0"/>
              <w:adjustRightInd w:val="0"/>
              <w:jc w:val="both"/>
              <w:rPr>
                <w:color w:val="000000"/>
                <w:sz w:val="18"/>
                <w:szCs w:val="18"/>
              </w:rPr>
            </w:pPr>
          </w:p>
        </w:tc>
      </w:tr>
    </w:tbl>
    <w:p w14:paraId="75A3FFEF" w14:textId="77777777" w:rsidR="00793DC4" w:rsidRDefault="00793DC4">
      <w:pPr>
        <w:widowControl w:val="0"/>
        <w:autoSpaceDE w:val="0"/>
        <w:autoSpaceDN w:val="0"/>
        <w:adjustRightInd w:val="0"/>
        <w:jc w:val="both"/>
        <w:rPr>
          <w:color w:val="000000"/>
        </w:rPr>
      </w:pPr>
    </w:p>
    <w:p w14:paraId="2F9E6FC2" w14:textId="77777777" w:rsidR="00793DC4" w:rsidRDefault="00793DC4">
      <w:pPr>
        <w:widowControl w:val="0"/>
        <w:autoSpaceDE w:val="0"/>
        <w:autoSpaceDN w:val="0"/>
        <w:adjustRightInd w:val="0"/>
        <w:jc w:val="both"/>
        <w:rPr>
          <w:color w:val="000000"/>
          <w:sz w:val="16"/>
          <w:szCs w:val="16"/>
        </w:rPr>
      </w:pPr>
      <w:r>
        <w:rPr>
          <w:b/>
          <w:bCs/>
          <w:i/>
          <w:iCs/>
          <w:color w:val="000000"/>
        </w:rPr>
        <w:t>Second</w:t>
      </w:r>
      <w:r>
        <w:rPr>
          <w:color w:val="000000"/>
        </w:rPr>
        <w:t xml:space="preserve">, </w:t>
      </w:r>
      <w:hyperlink r:id="rId356" w:history="1">
        <w:r>
          <w:rPr>
            <w:i/>
            <w:iCs/>
            <w:color w:val="000000"/>
          </w:rPr>
          <w:t>Wyeth</w:t>
        </w:r>
      </w:hyperlink>
      <w:r>
        <w:rPr>
          <w:color w:val="000000"/>
        </w:rPr>
        <w:t xml:space="preserve"> requires the </w:t>
      </w:r>
      <w:proofErr w:type="spellStart"/>
      <w:r>
        <w:rPr>
          <w:color w:val="000000"/>
        </w:rPr>
        <w:t>decisionmaker</w:t>
      </w:r>
      <w:proofErr w:type="spellEnd"/>
      <w:r>
        <w:rPr>
          <w:color w:val="000000"/>
        </w:rPr>
        <w:t xml:space="preserve"> to weigh conflicting evidence and draw inferences from the facts—tasks that the Supreme Court tells us “are jury functions, not those of a judge.”</w:t>
      </w:r>
      <w:bookmarkStart w:id="246" w:name="co_footnoteReference_B01242041287330_ID0"/>
      <w:bookmarkEnd w:id="246"/>
      <w:r>
        <w:rPr>
          <w:color w:val="000000"/>
          <w:sz w:val="16"/>
          <w:szCs w:val="16"/>
        </w:rPr>
        <w:fldChar w:fldCharType="begin"/>
      </w:r>
      <w:r>
        <w:rPr>
          <w:color w:val="000000"/>
          <w:sz w:val="16"/>
          <w:szCs w:val="16"/>
        </w:rPr>
        <w:instrText xml:space="preserve">HYPERLINK "#co_footnote_B01242041287330_1" </w:instrText>
      </w:r>
      <w:r w:rsidR="00F61700">
        <w:rPr>
          <w:color w:val="000000"/>
          <w:sz w:val="16"/>
          <w:szCs w:val="16"/>
        </w:rPr>
      </w:r>
      <w:r>
        <w:rPr>
          <w:color w:val="000000"/>
          <w:sz w:val="16"/>
          <w:szCs w:val="16"/>
        </w:rPr>
        <w:fldChar w:fldCharType="separate"/>
      </w:r>
      <w:r>
        <w:rPr>
          <w:color w:val="000000"/>
          <w:sz w:val="16"/>
          <w:szCs w:val="16"/>
          <w:vertAlign w:val="superscript"/>
        </w:rPr>
        <w:t>123</w:t>
      </w:r>
      <w:r>
        <w:rPr>
          <w:color w:val="000000"/>
          <w:sz w:val="16"/>
          <w:szCs w:val="16"/>
        </w:rPr>
        <w:fldChar w:fldCharType="end"/>
      </w:r>
    </w:p>
    <w:p w14:paraId="6C3229BC"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1BFB6A6C" w14:textId="77777777">
        <w:tblPrEx>
          <w:tblCellMar>
            <w:top w:w="0" w:type="dxa"/>
            <w:left w:w="0" w:type="dxa"/>
            <w:bottom w:w="0" w:type="dxa"/>
            <w:right w:w="0" w:type="dxa"/>
          </w:tblCellMar>
        </w:tblPrEx>
        <w:tc>
          <w:tcPr>
            <w:tcW w:w="600" w:type="dxa"/>
            <w:tcBorders>
              <w:top w:val="nil"/>
              <w:left w:val="nil"/>
              <w:bottom w:val="nil"/>
              <w:right w:val="nil"/>
            </w:tcBorders>
          </w:tcPr>
          <w:bookmarkStart w:id="247" w:name="co_footnote_B01242041287330_1"/>
          <w:bookmarkEnd w:id="247"/>
          <w:p w14:paraId="5B77FD58"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"#co_footnoteReference_B01242041287330_ID0" </w:instrText>
            </w:r>
            <w:r w:rsidR="00F61700">
              <w:rPr>
                <w:color w:val="000000"/>
              </w:rPr>
            </w:r>
            <w:r>
              <w:rPr>
                <w:color w:val="000000"/>
              </w:rPr>
              <w:fldChar w:fldCharType="separate"/>
            </w:r>
            <w:r>
              <w:rPr>
                <w:color w:val="000000"/>
                <w:vertAlign w:val="superscript"/>
              </w:rPr>
              <w:t>123</w:t>
            </w:r>
            <w:r>
              <w:rPr>
                <w:color w:val="000000"/>
              </w:rPr>
              <w:fldChar w:fldCharType="end"/>
            </w:r>
          </w:p>
          <w:p w14:paraId="253EF01D"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7A8E4586" w14:textId="77777777" w:rsidR="00793DC4" w:rsidRDefault="00793DC4">
            <w:pPr>
              <w:widowControl w:val="0"/>
              <w:autoSpaceDE w:val="0"/>
              <w:autoSpaceDN w:val="0"/>
              <w:adjustRightInd w:val="0"/>
              <w:jc w:val="both"/>
              <w:rPr>
                <w:color w:val="000000"/>
                <w:sz w:val="18"/>
                <w:szCs w:val="18"/>
              </w:rPr>
            </w:pPr>
            <w:hyperlink r:id="rId357" w:history="1">
              <w:r>
                <w:rPr>
                  <w:i/>
                  <w:iCs/>
                  <w:color w:val="000000"/>
                  <w:sz w:val="18"/>
                  <w:szCs w:val="18"/>
                </w:rPr>
                <w:t>Anderson v. Liberty Lobby, Inc.</w:t>
              </w:r>
              <w:r>
                <w:rPr>
                  <w:color w:val="000000"/>
                  <w:sz w:val="18"/>
                  <w:szCs w:val="18"/>
                </w:rPr>
                <w:t xml:space="preserve">, 477 U.S. 242, 255, 106 </w:t>
              </w:r>
              <w:proofErr w:type="spellStart"/>
              <w:r>
                <w:rPr>
                  <w:color w:val="000000"/>
                  <w:sz w:val="18"/>
                  <w:szCs w:val="18"/>
                </w:rPr>
                <w:t>S.Ct</w:t>
              </w:r>
              <w:proofErr w:type="spellEnd"/>
              <w:r>
                <w:rPr>
                  <w:color w:val="000000"/>
                  <w:sz w:val="18"/>
                  <w:szCs w:val="18"/>
                </w:rPr>
                <w:t>. 2505, 91 L.Ed.2d 202 (1986)</w:t>
              </w:r>
            </w:hyperlink>
            <w:r>
              <w:rPr>
                <w:color w:val="000000"/>
                <w:sz w:val="18"/>
                <w:szCs w:val="18"/>
              </w:rPr>
              <w:t>.</w:t>
            </w:r>
          </w:p>
          <w:p w14:paraId="3F0E2056" w14:textId="77777777" w:rsidR="00793DC4" w:rsidRDefault="00793DC4">
            <w:pPr>
              <w:widowControl w:val="0"/>
              <w:autoSpaceDE w:val="0"/>
              <w:autoSpaceDN w:val="0"/>
              <w:adjustRightInd w:val="0"/>
              <w:jc w:val="both"/>
              <w:rPr>
                <w:color w:val="000000"/>
                <w:sz w:val="18"/>
                <w:szCs w:val="18"/>
              </w:rPr>
            </w:pPr>
          </w:p>
        </w:tc>
      </w:tr>
    </w:tbl>
    <w:p w14:paraId="172E6949" w14:textId="77777777" w:rsidR="00793DC4" w:rsidRDefault="00793DC4">
      <w:pPr>
        <w:widowControl w:val="0"/>
        <w:autoSpaceDE w:val="0"/>
        <w:autoSpaceDN w:val="0"/>
        <w:adjustRightInd w:val="0"/>
        <w:jc w:val="both"/>
        <w:rPr>
          <w:color w:val="000000"/>
        </w:rPr>
      </w:pPr>
    </w:p>
    <w:p w14:paraId="6A89C3E6" w14:textId="77777777" w:rsidR="00793DC4" w:rsidRDefault="00793DC4">
      <w:pPr>
        <w:widowControl w:val="0"/>
        <w:autoSpaceDE w:val="0"/>
        <w:autoSpaceDN w:val="0"/>
        <w:adjustRightInd w:val="0"/>
        <w:jc w:val="both"/>
        <w:rPr>
          <w:color w:val="000000"/>
        </w:rPr>
      </w:pPr>
      <w:r>
        <w:rPr>
          <w:color w:val="000000"/>
        </w:rPr>
        <w:t>The present case is illustrative. Plaintiffs, for their part, rely heavily on the May 2009 letter from Dr. Scott Monroe of the FDA rejecting Merck’s proposed warning. According to Plaintiffs, the text of this letter demonstrates that the FDA (or at least Dr. Monroe) objected only to the allegedly misleading term “</w:t>
      </w:r>
      <w:hyperlink r:id="rId358" w:history="1">
        <w:r>
          <w:rPr>
            <w:color w:val="000000"/>
          </w:rPr>
          <w:t>stress fractures</w:t>
        </w:r>
      </w:hyperlink>
      <w:r>
        <w:rPr>
          <w:color w:val="000000"/>
        </w:rPr>
        <w:t>,” and does not establish that the FDA was unconvinced of the link between bisphosphonate use and atypical femur fractures. Merck, meanwhile, directs our attention away from Dr. Monroe’s letter and instead toward a series of informal FDA communications from the same time period between Dr. Monroe and Merck, which they claim demonstrate that the FDA (or at least Dr. Monroe) was unconvinced of a scientifically-proven link between bisphosphonates and atypical fractures.</w:t>
      </w:r>
      <w:bookmarkStart w:id="248" w:name="co_footnoteReference_B01252041287330_ID0"/>
      <w:bookmarkEnd w:id="248"/>
      <w:r>
        <w:rPr>
          <w:color w:val="000000"/>
          <w:sz w:val="16"/>
          <w:szCs w:val="16"/>
        </w:rPr>
        <w:fldChar w:fldCharType="begin"/>
      </w:r>
      <w:r>
        <w:rPr>
          <w:color w:val="000000"/>
          <w:sz w:val="16"/>
          <w:szCs w:val="16"/>
        </w:rPr>
        <w:instrText xml:space="preserve">HYPERLINK "#co_footnote_B01252041287330_1" </w:instrText>
      </w:r>
      <w:r w:rsidR="00F61700">
        <w:rPr>
          <w:color w:val="000000"/>
          <w:sz w:val="16"/>
          <w:szCs w:val="16"/>
        </w:rPr>
      </w:r>
      <w:r>
        <w:rPr>
          <w:color w:val="000000"/>
          <w:sz w:val="16"/>
          <w:szCs w:val="16"/>
        </w:rPr>
        <w:fldChar w:fldCharType="separate"/>
      </w:r>
      <w:r>
        <w:rPr>
          <w:color w:val="000000"/>
          <w:sz w:val="16"/>
          <w:szCs w:val="16"/>
          <w:vertAlign w:val="superscript"/>
        </w:rPr>
        <w:t>124</w:t>
      </w:r>
      <w:r>
        <w:rPr>
          <w:color w:val="000000"/>
          <w:sz w:val="16"/>
          <w:szCs w:val="16"/>
        </w:rPr>
        <w:fldChar w:fldCharType="end"/>
      </w:r>
      <w:r>
        <w:rPr>
          <w:color w:val="000000"/>
        </w:rPr>
        <w:t xml:space="preserve"> In short: both sides ask us to (1) draw competing inferences from separate pieces of record evidence and (2) weigh those inferences against one another. These are tasks reserved for jurors, not judges.</w:t>
      </w:r>
    </w:p>
    <w:p w14:paraId="422D391A"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758ECEA4" w14:textId="77777777">
        <w:tblPrEx>
          <w:tblCellMar>
            <w:top w:w="0" w:type="dxa"/>
            <w:left w:w="0" w:type="dxa"/>
            <w:bottom w:w="0" w:type="dxa"/>
            <w:right w:w="0" w:type="dxa"/>
          </w:tblCellMar>
        </w:tblPrEx>
        <w:tc>
          <w:tcPr>
            <w:tcW w:w="600" w:type="dxa"/>
            <w:tcBorders>
              <w:top w:val="nil"/>
              <w:left w:val="nil"/>
              <w:bottom w:val="nil"/>
              <w:right w:val="nil"/>
            </w:tcBorders>
          </w:tcPr>
          <w:bookmarkStart w:id="249" w:name="co_footnote_B01252041287330_1"/>
          <w:bookmarkEnd w:id="249"/>
          <w:p w14:paraId="5BF47F86"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"#co_footnoteReference_B01252041287330_ID0" </w:instrText>
            </w:r>
            <w:r w:rsidR="00F61700">
              <w:rPr>
                <w:color w:val="000000"/>
              </w:rPr>
            </w:r>
            <w:r>
              <w:rPr>
                <w:color w:val="000000"/>
              </w:rPr>
              <w:fldChar w:fldCharType="separate"/>
            </w:r>
            <w:r>
              <w:rPr>
                <w:color w:val="000000"/>
                <w:vertAlign w:val="superscript"/>
              </w:rPr>
              <w:t>124</w:t>
            </w:r>
            <w:r>
              <w:rPr>
                <w:color w:val="000000"/>
              </w:rPr>
              <w:fldChar w:fldCharType="end"/>
            </w:r>
          </w:p>
          <w:p w14:paraId="4DCD12CB"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4F56CACA" w14:textId="77777777" w:rsidR="00793DC4" w:rsidRDefault="00793DC4">
            <w:pPr>
              <w:widowControl w:val="0"/>
              <w:autoSpaceDE w:val="0"/>
              <w:autoSpaceDN w:val="0"/>
              <w:adjustRightInd w:val="0"/>
              <w:jc w:val="both"/>
              <w:rPr>
                <w:color w:val="000000"/>
                <w:sz w:val="18"/>
                <w:szCs w:val="18"/>
              </w:rPr>
            </w:pPr>
            <w:r>
              <w:rPr>
                <w:i/>
                <w:iCs/>
                <w:color w:val="000000"/>
                <w:sz w:val="18"/>
                <w:szCs w:val="18"/>
              </w:rPr>
              <w:t>See</w:t>
            </w:r>
            <w:r>
              <w:rPr>
                <w:color w:val="000000"/>
                <w:sz w:val="18"/>
                <w:szCs w:val="18"/>
              </w:rPr>
              <w:t xml:space="preserve"> A 1498, 1971.</w:t>
            </w:r>
          </w:p>
          <w:p w14:paraId="4FAE8771" w14:textId="77777777" w:rsidR="00793DC4" w:rsidRDefault="00793DC4">
            <w:pPr>
              <w:widowControl w:val="0"/>
              <w:autoSpaceDE w:val="0"/>
              <w:autoSpaceDN w:val="0"/>
              <w:adjustRightInd w:val="0"/>
              <w:jc w:val="both"/>
              <w:rPr>
                <w:color w:val="000000"/>
                <w:sz w:val="18"/>
                <w:szCs w:val="18"/>
              </w:rPr>
            </w:pPr>
          </w:p>
        </w:tc>
      </w:tr>
    </w:tbl>
    <w:p w14:paraId="029A6C8F" w14:textId="77777777" w:rsidR="00793DC4" w:rsidRDefault="00793DC4">
      <w:pPr>
        <w:widowControl w:val="0"/>
        <w:autoSpaceDE w:val="0"/>
        <w:autoSpaceDN w:val="0"/>
        <w:adjustRightInd w:val="0"/>
        <w:jc w:val="both"/>
        <w:rPr>
          <w:color w:val="000000"/>
        </w:rPr>
      </w:pPr>
    </w:p>
    <w:p w14:paraId="79434A8A" w14:textId="77777777" w:rsidR="00793DC4" w:rsidRDefault="00793DC4">
      <w:pPr>
        <w:widowControl w:val="0"/>
        <w:autoSpaceDE w:val="0"/>
        <w:autoSpaceDN w:val="0"/>
        <w:adjustRightInd w:val="0"/>
        <w:jc w:val="both"/>
        <w:rPr>
          <w:color w:val="000000"/>
        </w:rPr>
      </w:pPr>
      <w:r>
        <w:rPr>
          <w:b/>
          <w:bCs/>
          <w:i/>
          <w:iCs/>
          <w:color w:val="000000"/>
        </w:rPr>
        <w:t>Third</w:t>
      </w:r>
      <w:r>
        <w:rPr>
          <w:color w:val="000000"/>
        </w:rPr>
        <w:t xml:space="preserve">, the task of predicting the FDA’s likely actions requires multiple assessments of FDA officials’ motives and thought processes. Consider, for example, some of the questions that must be answered to arrive at a determination of whether the FDA would have rejected Plaintiffs’ warning. How convinced or skeptical were FDA officials of the link between bisphosphonates and atypical femur fractures? Even if FDA officials were unconvinced of a firm link, might they nonetheless have agreed that there was “reasonable evidence of a causal association,” </w:t>
      </w:r>
      <w:r>
        <w:rPr>
          <w:b/>
          <w:bCs/>
          <w:color w:val="000000"/>
        </w:rPr>
        <w:t>*291</w:t>
      </w:r>
      <w:r>
        <w:rPr>
          <w:color w:val="000000"/>
        </w:rPr>
        <w:t xml:space="preserve"> as the CBE regulation requires? Did the FDA reject Merck’s 2009 proposal because it was unconvinced by the science or because it disliked the </w:t>
      </w:r>
      <w:hyperlink r:id="rId359" w:history="1">
        <w:r>
          <w:rPr>
            <w:color w:val="000000"/>
          </w:rPr>
          <w:t>stress-fracture</w:t>
        </w:r>
      </w:hyperlink>
      <w:r>
        <w:rPr>
          <w:color w:val="000000"/>
        </w:rPr>
        <w:t xml:space="preserve"> language? What, if anything, can we infer from Dr. Monroe’s contemporaneous oral statement that the “conflicting nature of the literature” concerning a possible fracture link “does not provide a clear path forward”? Whatever the FDA’s position might have been on the association between bisphosphonates and atypical femur fractures, was that position an accurate predictor of its likely response to a proposed warning? In other words, how confidently can we extrapolate FDA officials’ hypothetical reactions from their previous statements and actions?</w:t>
      </w:r>
    </w:p>
    <w:p w14:paraId="258F90DD" w14:textId="77777777" w:rsidR="00793DC4" w:rsidRDefault="00793DC4">
      <w:pPr>
        <w:widowControl w:val="0"/>
        <w:autoSpaceDE w:val="0"/>
        <w:autoSpaceDN w:val="0"/>
        <w:adjustRightInd w:val="0"/>
        <w:jc w:val="both"/>
        <w:rPr>
          <w:color w:val="000000"/>
        </w:rPr>
      </w:pPr>
      <w:r>
        <w:rPr>
          <w:color w:val="000000"/>
        </w:rPr>
        <w:t> </w:t>
      </w:r>
    </w:p>
    <w:p w14:paraId="0FB53B17" w14:textId="77777777" w:rsidR="00793DC4" w:rsidRDefault="00793DC4">
      <w:pPr>
        <w:widowControl w:val="0"/>
        <w:autoSpaceDE w:val="0"/>
        <w:autoSpaceDN w:val="0"/>
        <w:adjustRightInd w:val="0"/>
        <w:jc w:val="both"/>
        <w:rPr>
          <w:color w:val="000000"/>
          <w:sz w:val="16"/>
          <w:szCs w:val="16"/>
        </w:rPr>
      </w:pPr>
      <w:r>
        <w:rPr>
          <w:color w:val="000000"/>
        </w:rPr>
        <w:t>These are all, essentially, inquiries about motive or state of mind: what were FDA officials thinking, and how would that disposition have conditioned their response to plaintiffs’ hypothetical proposed warning? And questions of motive, intent, and state of mind are typically understood to be fact questions committed to the jury rather than the court.</w:t>
      </w:r>
      <w:bookmarkStart w:id="250" w:name="co_footnoteReference_B01262041287330_ID0"/>
      <w:bookmarkEnd w:id="250"/>
      <w:r>
        <w:rPr>
          <w:color w:val="000000"/>
          <w:sz w:val="16"/>
          <w:szCs w:val="16"/>
        </w:rPr>
        <w:fldChar w:fldCharType="begin"/>
      </w:r>
      <w:r>
        <w:rPr>
          <w:color w:val="000000"/>
          <w:sz w:val="16"/>
          <w:szCs w:val="16"/>
        </w:rPr>
        <w:instrText xml:space="preserve">HYPERLINK "#co_footnote_B01262041287330_1" </w:instrText>
      </w:r>
      <w:r w:rsidR="00F61700">
        <w:rPr>
          <w:color w:val="000000"/>
          <w:sz w:val="16"/>
          <w:szCs w:val="16"/>
        </w:rPr>
      </w:r>
      <w:r>
        <w:rPr>
          <w:color w:val="000000"/>
          <w:sz w:val="16"/>
          <w:szCs w:val="16"/>
        </w:rPr>
        <w:fldChar w:fldCharType="separate"/>
      </w:r>
      <w:r>
        <w:rPr>
          <w:color w:val="000000"/>
          <w:sz w:val="16"/>
          <w:szCs w:val="16"/>
          <w:vertAlign w:val="superscript"/>
        </w:rPr>
        <w:t>125</w:t>
      </w:r>
      <w:r>
        <w:rPr>
          <w:color w:val="000000"/>
          <w:sz w:val="16"/>
          <w:szCs w:val="16"/>
        </w:rPr>
        <w:fldChar w:fldCharType="end"/>
      </w:r>
    </w:p>
    <w:p w14:paraId="36A89BCD"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7770A8DA" w14:textId="77777777">
        <w:tblPrEx>
          <w:tblCellMar>
            <w:top w:w="0" w:type="dxa"/>
            <w:left w:w="0" w:type="dxa"/>
            <w:bottom w:w="0" w:type="dxa"/>
            <w:right w:w="0" w:type="dxa"/>
          </w:tblCellMar>
        </w:tblPrEx>
        <w:tc>
          <w:tcPr>
            <w:tcW w:w="600" w:type="dxa"/>
            <w:tcBorders>
              <w:top w:val="nil"/>
              <w:left w:val="nil"/>
              <w:bottom w:val="nil"/>
              <w:right w:val="nil"/>
            </w:tcBorders>
          </w:tcPr>
          <w:bookmarkStart w:id="251" w:name="co_footnote_B01262041287330_1"/>
          <w:bookmarkEnd w:id="251"/>
          <w:p w14:paraId="7D6DD505"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"#co_footnoteReference_B01262041287330_ID0" </w:instrText>
            </w:r>
            <w:r w:rsidR="00F61700">
              <w:rPr>
                <w:color w:val="000000"/>
              </w:rPr>
            </w:r>
            <w:r>
              <w:rPr>
                <w:color w:val="000000"/>
              </w:rPr>
              <w:fldChar w:fldCharType="separate"/>
            </w:r>
            <w:r>
              <w:rPr>
                <w:color w:val="000000"/>
                <w:vertAlign w:val="superscript"/>
              </w:rPr>
              <w:t>125</w:t>
            </w:r>
            <w:r>
              <w:rPr>
                <w:color w:val="000000"/>
              </w:rPr>
              <w:fldChar w:fldCharType="end"/>
            </w:r>
          </w:p>
          <w:p w14:paraId="799220F1"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7606AEC4" w14:textId="77777777" w:rsidR="00793DC4" w:rsidRDefault="00793DC4">
            <w:pPr>
              <w:widowControl w:val="0"/>
              <w:autoSpaceDE w:val="0"/>
              <w:autoSpaceDN w:val="0"/>
              <w:adjustRightInd w:val="0"/>
              <w:jc w:val="both"/>
              <w:rPr>
                <w:color w:val="000000"/>
                <w:sz w:val="18"/>
                <w:szCs w:val="18"/>
              </w:rPr>
            </w:pPr>
            <w:r>
              <w:rPr>
                <w:i/>
                <w:iCs/>
                <w:color w:val="000000"/>
                <w:sz w:val="18"/>
                <w:szCs w:val="18"/>
              </w:rPr>
              <w:t xml:space="preserve">See </w:t>
            </w:r>
            <w:hyperlink r:id="rId360" w:history="1">
              <w:r>
                <w:rPr>
                  <w:i/>
                  <w:iCs/>
                  <w:color w:val="000000"/>
                  <w:sz w:val="18"/>
                  <w:szCs w:val="18"/>
                </w:rPr>
                <w:t>Pullman-Standard</w:t>
              </w:r>
              <w:r>
                <w:rPr>
                  <w:color w:val="000000"/>
                  <w:sz w:val="18"/>
                  <w:szCs w:val="18"/>
                </w:rPr>
                <w:t xml:space="preserve">, 456 U.S. at 288, 102 </w:t>
              </w:r>
              <w:proofErr w:type="spellStart"/>
              <w:r>
                <w:rPr>
                  <w:color w:val="000000"/>
                  <w:sz w:val="18"/>
                  <w:szCs w:val="18"/>
                </w:rPr>
                <w:t>S.Ct</w:t>
              </w:r>
              <w:proofErr w:type="spellEnd"/>
              <w:r>
                <w:rPr>
                  <w:color w:val="000000"/>
                  <w:sz w:val="18"/>
                  <w:szCs w:val="18"/>
                </w:rPr>
                <w:t>. 1781</w:t>
              </w:r>
            </w:hyperlink>
            <w:r>
              <w:rPr>
                <w:color w:val="000000"/>
                <w:sz w:val="18"/>
                <w:szCs w:val="18"/>
              </w:rPr>
              <w:t xml:space="preserve"> (“Treating issues of intent as factual matters for the trier of fact is commonplace.”); </w:t>
            </w:r>
            <w:hyperlink r:id="rId361" w:history="1">
              <w:proofErr w:type="spellStart"/>
              <w:r>
                <w:rPr>
                  <w:i/>
                  <w:iCs/>
                  <w:color w:val="000000"/>
                  <w:sz w:val="18"/>
                  <w:szCs w:val="18"/>
                </w:rPr>
                <w:t>Monteiro</w:t>
              </w:r>
              <w:proofErr w:type="spellEnd"/>
              <w:r>
                <w:rPr>
                  <w:i/>
                  <w:iCs/>
                  <w:color w:val="000000"/>
                  <w:sz w:val="18"/>
                  <w:szCs w:val="18"/>
                </w:rPr>
                <w:t xml:space="preserve"> v. City of Elizabeth</w:t>
              </w:r>
              <w:r>
                <w:rPr>
                  <w:color w:val="000000"/>
                  <w:sz w:val="18"/>
                  <w:szCs w:val="18"/>
                </w:rPr>
                <w:t>, 436 F.3d 397, 405 (3d Cir. 2006)</w:t>
              </w:r>
            </w:hyperlink>
            <w:r>
              <w:rPr>
                <w:color w:val="000000"/>
                <w:sz w:val="18"/>
                <w:szCs w:val="18"/>
              </w:rPr>
              <w:t xml:space="preserve"> (“Motive is a question of fact that must be decided by the jury”); </w:t>
            </w:r>
            <w:hyperlink r:id="rId362" w:history="1">
              <w:r>
                <w:rPr>
                  <w:i/>
                  <w:iCs/>
                  <w:color w:val="000000"/>
                  <w:sz w:val="18"/>
                  <w:szCs w:val="18"/>
                </w:rPr>
                <w:t>Grant v. City of Pittsburgh</w:t>
              </w:r>
              <w:r>
                <w:rPr>
                  <w:color w:val="000000"/>
                  <w:sz w:val="18"/>
                  <w:szCs w:val="18"/>
                </w:rPr>
                <w:t>, 98 F.3d 116, 125 (3d Cir. 1996)</w:t>
              </w:r>
            </w:hyperlink>
            <w:r>
              <w:rPr>
                <w:color w:val="000000"/>
                <w:sz w:val="18"/>
                <w:szCs w:val="18"/>
              </w:rPr>
              <w:t xml:space="preserve"> (“[T]he issue of state of mind will always be a question of fact”).</w:t>
            </w:r>
          </w:p>
          <w:p w14:paraId="796B80B9" w14:textId="77777777" w:rsidR="00793DC4" w:rsidRDefault="00793DC4">
            <w:pPr>
              <w:widowControl w:val="0"/>
              <w:autoSpaceDE w:val="0"/>
              <w:autoSpaceDN w:val="0"/>
              <w:adjustRightInd w:val="0"/>
              <w:ind w:left="180"/>
              <w:jc w:val="both"/>
              <w:rPr>
                <w:color w:val="000000"/>
                <w:sz w:val="18"/>
                <w:szCs w:val="18"/>
              </w:rPr>
            </w:pPr>
            <w:r>
              <w:rPr>
                <w:color w:val="000000"/>
                <w:sz w:val="18"/>
                <w:szCs w:val="18"/>
              </w:rPr>
              <w:t>One might object that the FDA acts as a body rather than through individuals, thereby rendering questions of “motive” and “intent” irrelevant in this setting. The key evidence in this case belies that assumption. At oral argument, Merck’s counsel stated that the single best piece of evidence that the FDA would have rejected a revised warning is a set of notes, prepared by a Merck employee, recounting a telephone conversation with Dr. Monroe of the FDA—the same official who wrote the May 2009 letter formally rejecting Merck’s proposed additions to the Warnings and Precautions section. According to the employee’s notes, Dr. Monroe said that Merck’s “elevation of this issue to a precaution in the labeling” was prolonging review, that the “FDA would like to approach the issue of a precaution from the [perspective] of all bisphosphonates,” and that because the “conflicting nature of the literature does not provide a clear path forward, ... more time [would] be need[</w:t>
            </w:r>
            <w:proofErr w:type="spellStart"/>
            <w:r>
              <w:rPr>
                <w:color w:val="000000"/>
                <w:sz w:val="18"/>
                <w:szCs w:val="18"/>
              </w:rPr>
              <w:t>ed</w:t>
            </w:r>
            <w:proofErr w:type="spellEnd"/>
            <w:r>
              <w:rPr>
                <w:color w:val="000000"/>
                <w:sz w:val="18"/>
                <w:szCs w:val="18"/>
              </w:rPr>
              <w:t>] for [the] FDA to formulate a formal opinion on the issue of a precaution around these data.” A 1971.</w:t>
            </w:r>
          </w:p>
          <w:p w14:paraId="2C362C39" w14:textId="77777777" w:rsidR="00793DC4" w:rsidRDefault="00793DC4">
            <w:pPr>
              <w:widowControl w:val="0"/>
              <w:autoSpaceDE w:val="0"/>
              <w:autoSpaceDN w:val="0"/>
              <w:adjustRightInd w:val="0"/>
              <w:ind w:left="180"/>
              <w:jc w:val="both"/>
              <w:rPr>
                <w:color w:val="000000"/>
                <w:sz w:val="18"/>
                <w:szCs w:val="18"/>
              </w:rPr>
            </w:pPr>
            <w:r>
              <w:rPr>
                <w:color w:val="000000"/>
                <w:sz w:val="18"/>
                <w:szCs w:val="18"/>
              </w:rPr>
              <w:t xml:space="preserve">To gauge the import of these statements, a </w:t>
            </w:r>
            <w:proofErr w:type="spellStart"/>
            <w:r>
              <w:rPr>
                <w:color w:val="000000"/>
                <w:sz w:val="18"/>
                <w:szCs w:val="18"/>
              </w:rPr>
              <w:t>decisionmaker</w:t>
            </w:r>
            <w:proofErr w:type="spellEnd"/>
            <w:r>
              <w:rPr>
                <w:color w:val="000000"/>
                <w:sz w:val="18"/>
                <w:szCs w:val="18"/>
              </w:rPr>
              <w:t xml:space="preserve"> would need to, at a minimum, (1) make a credibility determination regarding the Merck employee who drafted the notes; (2) determine the veracity and accuracy of the notes; (3) determine the semantic meaning of Dr. Monroe’s statements; (4) infer Dr. Monroe’s intent and state of mind when making the statements; and (5) weigh that inference against whatever competing inferences can be drawn from Dr. Monroe’s subsequent letter rejecting Merck’s proposed warning. These are precisely the types of personal evaluations and weight-of-the-evidence assessments that we commit to jurors in the first instance.</w:t>
            </w:r>
          </w:p>
          <w:p w14:paraId="354B59A7" w14:textId="77777777" w:rsidR="00793DC4" w:rsidRDefault="00793DC4">
            <w:pPr>
              <w:widowControl w:val="0"/>
              <w:autoSpaceDE w:val="0"/>
              <w:autoSpaceDN w:val="0"/>
              <w:adjustRightInd w:val="0"/>
              <w:ind w:left="180"/>
              <w:jc w:val="both"/>
              <w:rPr>
                <w:color w:val="000000"/>
                <w:sz w:val="18"/>
                <w:szCs w:val="18"/>
              </w:rPr>
            </w:pPr>
            <w:r>
              <w:rPr>
                <w:color w:val="000000"/>
                <w:sz w:val="18"/>
                <w:szCs w:val="18"/>
              </w:rPr>
              <w:t xml:space="preserve">We acknowledge, of course, that the </w:t>
            </w:r>
            <w:hyperlink r:id="rId363" w:history="1">
              <w:r>
                <w:rPr>
                  <w:i/>
                  <w:iCs/>
                  <w:color w:val="000000"/>
                  <w:sz w:val="18"/>
                  <w:szCs w:val="18"/>
                </w:rPr>
                <w:t>Wyeth</w:t>
              </w:r>
            </w:hyperlink>
            <w:r>
              <w:rPr>
                <w:color w:val="000000"/>
                <w:sz w:val="18"/>
                <w:szCs w:val="18"/>
              </w:rPr>
              <w:t xml:space="preserve"> inquiry may sometimes require the </w:t>
            </w:r>
            <w:proofErr w:type="spellStart"/>
            <w:r>
              <w:rPr>
                <w:color w:val="000000"/>
                <w:sz w:val="18"/>
                <w:szCs w:val="18"/>
              </w:rPr>
              <w:t>factfinder</w:t>
            </w:r>
            <w:proofErr w:type="spellEnd"/>
            <w:r>
              <w:rPr>
                <w:color w:val="000000"/>
                <w:sz w:val="18"/>
                <w:szCs w:val="18"/>
              </w:rPr>
              <w:t xml:space="preserve"> to impute motive or intent to the FDA as a whole. But as the Supreme Court has recognized, the difficulty of assessing collective intent is not a reason to treat the assessment as something other than a factual inquiry. For example, the Court has held that the question of whether a corporation harbored discriminatory intent is a question of fact. </w:t>
            </w:r>
            <w:hyperlink r:id="rId364" w:history="1">
              <w:r>
                <w:rPr>
                  <w:i/>
                  <w:iCs/>
                  <w:color w:val="000000"/>
                  <w:sz w:val="18"/>
                  <w:szCs w:val="18"/>
                </w:rPr>
                <w:t>Pullman-Standard</w:t>
              </w:r>
              <w:r>
                <w:rPr>
                  <w:color w:val="000000"/>
                  <w:sz w:val="18"/>
                  <w:szCs w:val="18"/>
                </w:rPr>
                <w:t xml:space="preserve">, 456 U.S. at 289, 102 </w:t>
              </w:r>
              <w:proofErr w:type="spellStart"/>
              <w:r>
                <w:rPr>
                  <w:color w:val="000000"/>
                  <w:sz w:val="18"/>
                  <w:szCs w:val="18"/>
                </w:rPr>
                <w:t>S.Ct</w:t>
              </w:r>
              <w:proofErr w:type="spellEnd"/>
              <w:r>
                <w:rPr>
                  <w:color w:val="000000"/>
                  <w:sz w:val="18"/>
                  <w:szCs w:val="18"/>
                </w:rPr>
                <w:t>. 1781</w:t>
              </w:r>
            </w:hyperlink>
            <w:r>
              <w:rPr>
                <w:color w:val="000000"/>
                <w:sz w:val="18"/>
                <w:szCs w:val="18"/>
              </w:rPr>
              <w:t xml:space="preserve"> (“[</w:t>
            </w:r>
            <w:proofErr w:type="gramStart"/>
            <w:r>
              <w:rPr>
                <w:color w:val="000000"/>
                <w:sz w:val="18"/>
                <w:szCs w:val="18"/>
              </w:rPr>
              <w:t>D]</w:t>
            </w:r>
            <w:proofErr w:type="spellStart"/>
            <w:r>
              <w:rPr>
                <w:color w:val="000000"/>
                <w:sz w:val="18"/>
                <w:szCs w:val="18"/>
              </w:rPr>
              <w:t>iscriminatory</w:t>
            </w:r>
            <w:proofErr w:type="spellEnd"/>
            <w:proofErr w:type="gramEnd"/>
            <w:r>
              <w:rPr>
                <w:color w:val="000000"/>
                <w:sz w:val="18"/>
                <w:szCs w:val="18"/>
              </w:rPr>
              <w:t xml:space="preserve"> intent ... is not a question of law and not a mixed question of law and fact.”). Here too, the questions of why the FDA took certain actions or what can be inferred from its pronouncements are questions of fact for a jury.</w:t>
            </w:r>
          </w:p>
          <w:p w14:paraId="26BB386E" w14:textId="77777777" w:rsidR="00793DC4" w:rsidRDefault="00793DC4">
            <w:pPr>
              <w:widowControl w:val="0"/>
              <w:autoSpaceDE w:val="0"/>
              <w:autoSpaceDN w:val="0"/>
              <w:adjustRightInd w:val="0"/>
              <w:ind w:left="180"/>
              <w:jc w:val="both"/>
              <w:rPr>
                <w:color w:val="000000"/>
                <w:sz w:val="18"/>
                <w:szCs w:val="18"/>
              </w:rPr>
            </w:pPr>
          </w:p>
        </w:tc>
      </w:tr>
    </w:tbl>
    <w:p w14:paraId="380AABAE" w14:textId="77777777" w:rsidR="00793DC4" w:rsidRDefault="00793DC4">
      <w:pPr>
        <w:widowControl w:val="0"/>
        <w:autoSpaceDE w:val="0"/>
        <w:autoSpaceDN w:val="0"/>
        <w:adjustRightInd w:val="0"/>
        <w:jc w:val="both"/>
        <w:rPr>
          <w:color w:val="000000"/>
        </w:rPr>
      </w:pPr>
    </w:p>
    <w:p w14:paraId="0C690F0D" w14:textId="77777777" w:rsidR="00793DC4" w:rsidRDefault="00793DC4">
      <w:pPr>
        <w:widowControl w:val="0"/>
        <w:autoSpaceDE w:val="0"/>
        <w:autoSpaceDN w:val="0"/>
        <w:adjustRightInd w:val="0"/>
        <w:jc w:val="both"/>
        <w:rPr>
          <w:color w:val="000000"/>
          <w:sz w:val="16"/>
          <w:szCs w:val="16"/>
        </w:rPr>
      </w:pPr>
      <w:r>
        <w:rPr>
          <w:color w:val="000000"/>
        </w:rPr>
        <w:t xml:space="preserve">As a fallback position, Merck argues that even if the </w:t>
      </w:r>
      <w:hyperlink r:id="rId365" w:history="1">
        <w:r>
          <w:rPr>
            <w:i/>
            <w:iCs/>
            <w:color w:val="000000"/>
          </w:rPr>
          <w:t>Wyeth</w:t>
        </w:r>
      </w:hyperlink>
      <w:r>
        <w:rPr>
          <w:color w:val="000000"/>
        </w:rPr>
        <w:t xml:space="preserve"> inquiry is factual in nature, it should be committed to the court rather than the jury for reasons of institutional competence.</w:t>
      </w:r>
      <w:bookmarkStart w:id="252" w:name="co_footnoteReference_B01272041287330_ID0"/>
      <w:bookmarkEnd w:id="252"/>
      <w:r>
        <w:rPr>
          <w:color w:val="000000"/>
          <w:sz w:val="16"/>
          <w:szCs w:val="16"/>
        </w:rPr>
        <w:fldChar w:fldCharType="begin"/>
      </w:r>
      <w:r>
        <w:rPr>
          <w:color w:val="000000"/>
          <w:sz w:val="16"/>
          <w:szCs w:val="16"/>
        </w:rPr>
        <w:instrText xml:space="preserve">HYPERLINK "#co_footnote_B01272041287330_1" </w:instrText>
      </w:r>
      <w:r w:rsidR="00F61700">
        <w:rPr>
          <w:color w:val="000000"/>
          <w:sz w:val="16"/>
          <w:szCs w:val="16"/>
        </w:rPr>
      </w:r>
      <w:r>
        <w:rPr>
          <w:color w:val="000000"/>
          <w:sz w:val="16"/>
          <w:szCs w:val="16"/>
        </w:rPr>
        <w:fldChar w:fldCharType="separate"/>
      </w:r>
      <w:r>
        <w:rPr>
          <w:color w:val="000000"/>
          <w:sz w:val="16"/>
          <w:szCs w:val="16"/>
          <w:vertAlign w:val="superscript"/>
        </w:rPr>
        <w:t>126</w:t>
      </w:r>
      <w:r>
        <w:rPr>
          <w:color w:val="000000"/>
          <w:sz w:val="16"/>
          <w:szCs w:val="16"/>
        </w:rPr>
        <w:fldChar w:fldCharType="end"/>
      </w:r>
      <w:r>
        <w:rPr>
          <w:color w:val="000000"/>
        </w:rPr>
        <w:t xml:space="preserve"> Merck relies heavily </w:t>
      </w:r>
      <w:r>
        <w:rPr>
          <w:b/>
          <w:bCs/>
          <w:color w:val="000000"/>
        </w:rPr>
        <w:t>*292</w:t>
      </w:r>
      <w:r>
        <w:rPr>
          <w:color w:val="000000"/>
        </w:rPr>
        <w:t xml:space="preserve"> on </w:t>
      </w:r>
      <w:hyperlink r:id="rId366" w:history="1">
        <w:proofErr w:type="spellStart"/>
        <w:r>
          <w:rPr>
            <w:i/>
            <w:iCs/>
            <w:color w:val="000000"/>
          </w:rPr>
          <w:t>Markman</w:t>
        </w:r>
        <w:proofErr w:type="spellEnd"/>
        <w:r>
          <w:rPr>
            <w:i/>
            <w:iCs/>
            <w:color w:val="000000"/>
          </w:rPr>
          <w:t xml:space="preserve"> v. Westview Instruments, Inc</w:t>
        </w:r>
        <w:r>
          <w:rPr>
            <w:color w:val="000000"/>
          </w:rPr>
          <w:t>.,</w:t>
        </w:r>
      </w:hyperlink>
      <w:bookmarkStart w:id="253" w:name="co_footnoteReference_B01282041287330_ID0"/>
      <w:bookmarkEnd w:id="253"/>
      <w:r>
        <w:rPr>
          <w:color w:val="000000"/>
          <w:sz w:val="16"/>
          <w:szCs w:val="16"/>
        </w:rPr>
        <w:fldChar w:fldCharType="begin"/>
      </w:r>
      <w:r>
        <w:rPr>
          <w:color w:val="000000"/>
          <w:sz w:val="16"/>
          <w:szCs w:val="16"/>
        </w:rPr>
        <w:instrText xml:space="preserve">HYPERLINK "#co_footnote_B01282041287330_1" </w:instrText>
      </w:r>
      <w:r w:rsidR="00F61700">
        <w:rPr>
          <w:color w:val="000000"/>
          <w:sz w:val="16"/>
          <w:szCs w:val="16"/>
        </w:rPr>
      </w:r>
      <w:r>
        <w:rPr>
          <w:color w:val="000000"/>
          <w:sz w:val="16"/>
          <w:szCs w:val="16"/>
        </w:rPr>
        <w:fldChar w:fldCharType="separate"/>
      </w:r>
      <w:r>
        <w:rPr>
          <w:color w:val="000000"/>
          <w:sz w:val="16"/>
          <w:szCs w:val="16"/>
          <w:vertAlign w:val="superscript"/>
        </w:rPr>
        <w:t>127</w:t>
      </w:r>
      <w:r>
        <w:rPr>
          <w:color w:val="000000"/>
          <w:sz w:val="16"/>
          <w:szCs w:val="16"/>
        </w:rPr>
        <w:fldChar w:fldCharType="end"/>
      </w:r>
      <w:r>
        <w:rPr>
          <w:color w:val="000000"/>
        </w:rPr>
        <w:t xml:space="preserve"> in which the Supreme Court held that “construction of a patent, including terms of art within its claim, is exclusively within the province of the court.”</w:t>
      </w:r>
      <w:bookmarkStart w:id="254" w:name="co_footnoteReference_B01292041287330_ID0"/>
      <w:bookmarkEnd w:id="254"/>
      <w:r>
        <w:rPr>
          <w:color w:val="000000"/>
          <w:sz w:val="16"/>
          <w:szCs w:val="16"/>
        </w:rPr>
        <w:fldChar w:fldCharType="begin"/>
      </w:r>
      <w:r>
        <w:rPr>
          <w:color w:val="000000"/>
          <w:sz w:val="16"/>
          <w:szCs w:val="16"/>
        </w:rPr>
        <w:instrText xml:space="preserve">HYPERLINK "#co_footnote_B01292041287330_1" </w:instrText>
      </w:r>
      <w:r w:rsidR="00F61700">
        <w:rPr>
          <w:color w:val="000000"/>
          <w:sz w:val="16"/>
          <w:szCs w:val="16"/>
        </w:rPr>
      </w:r>
      <w:r>
        <w:rPr>
          <w:color w:val="000000"/>
          <w:sz w:val="16"/>
          <w:szCs w:val="16"/>
        </w:rPr>
        <w:fldChar w:fldCharType="separate"/>
      </w:r>
      <w:r>
        <w:rPr>
          <w:color w:val="000000"/>
          <w:sz w:val="16"/>
          <w:szCs w:val="16"/>
          <w:vertAlign w:val="superscript"/>
        </w:rPr>
        <w:t>128</w:t>
      </w:r>
      <w:r>
        <w:rPr>
          <w:color w:val="000000"/>
          <w:sz w:val="16"/>
          <w:szCs w:val="16"/>
        </w:rPr>
        <w:fldChar w:fldCharType="end"/>
      </w:r>
      <w:r>
        <w:rPr>
          <w:color w:val="000000"/>
        </w:rPr>
        <w:t xml:space="preserve"> The </w:t>
      </w:r>
      <w:hyperlink r:id="rId367" w:history="1">
        <w:proofErr w:type="spellStart"/>
        <w:r>
          <w:rPr>
            <w:i/>
            <w:iCs/>
            <w:color w:val="000000"/>
          </w:rPr>
          <w:t>Markman</w:t>
        </w:r>
        <w:proofErr w:type="spellEnd"/>
      </w:hyperlink>
      <w:r>
        <w:rPr>
          <w:color w:val="000000"/>
        </w:rPr>
        <w:t xml:space="preserve"> Court based this conclusion, in part, on the general rule that “[</w:t>
      </w:r>
      <w:proofErr w:type="gramStart"/>
      <w:r>
        <w:rPr>
          <w:color w:val="000000"/>
        </w:rPr>
        <w:t>t]he</w:t>
      </w:r>
      <w:proofErr w:type="gramEnd"/>
      <w:r>
        <w:rPr>
          <w:color w:val="000000"/>
        </w:rPr>
        <w:t xml:space="preserve"> construction of written instruments is one of those things that judges often do and are likely to do better than jurors.”</w:t>
      </w:r>
      <w:bookmarkStart w:id="255" w:name="co_footnoteReference_B01302041287330_ID0"/>
      <w:bookmarkEnd w:id="255"/>
      <w:r>
        <w:rPr>
          <w:color w:val="000000"/>
          <w:sz w:val="16"/>
          <w:szCs w:val="16"/>
        </w:rPr>
        <w:fldChar w:fldCharType="begin"/>
      </w:r>
      <w:r>
        <w:rPr>
          <w:color w:val="000000"/>
          <w:sz w:val="16"/>
          <w:szCs w:val="16"/>
        </w:rPr>
        <w:instrText xml:space="preserve">HYPERLINK "#co_footnote_B01302041287330_1" </w:instrText>
      </w:r>
      <w:r w:rsidR="00F61700">
        <w:rPr>
          <w:color w:val="000000"/>
          <w:sz w:val="16"/>
          <w:szCs w:val="16"/>
        </w:rPr>
      </w:r>
      <w:r>
        <w:rPr>
          <w:color w:val="000000"/>
          <w:sz w:val="16"/>
          <w:szCs w:val="16"/>
        </w:rPr>
        <w:fldChar w:fldCharType="separate"/>
      </w:r>
      <w:r>
        <w:rPr>
          <w:color w:val="000000"/>
          <w:sz w:val="16"/>
          <w:szCs w:val="16"/>
          <w:vertAlign w:val="superscript"/>
        </w:rPr>
        <w:t>129</w:t>
      </w:r>
      <w:r>
        <w:rPr>
          <w:color w:val="000000"/>
          <w:sz w:val="16"/>
          <w:szCs w:val="16"/>
        </w:rPr>
        <w:fldChar w:fldCharType="end"/>
      </w:r>
      <w:r>
        <w:rPr>
          <w:color w:val="000000"/>
        </w:rPr>
        <w:t xml:space="preserve"> Here, the question of how the FDA would have responded to a proposed warning is informed by the regulations that constrain FDA action—in this case, the CBE regulation. That regulation permits the FDA to add an adverse reaction in the Warnings and Precautions section “as soon as there is reasonable evidence of a causal association with a drug.”</w:t>
      </w:r>
      <w:bookmarkStart w:id="256" w:name="co_footnoteReference_B01312041287330_ID0"/>
      <w:bookmarkEnd w:id="256"/>
      <w:r>
        <w:rPr>
          <w:color w:val="000000"/>
          <w:sz w:val="16"/>
          <w:szCs w:val="16"/>
        </w:rPr>
        <w:fldChar w:fldCharType="begin"/>
      </w:r>
      <w:r>
        <w:rPr>
          <w:color w:val="000000"/>
          <w:sz w:val="16"/>
          <w:szCs w:val="16"/>
        </w:rPr>
        <w:instrText xml:space="preserve">HYPERLINK "#co_footnote_B01312041287330_1" </w:instrText>
      </w:r>
      <w:r w:rsidR="00F61700">
        <w:rPr>
          <w:color w:val="000000"/>
          <w:sz w:val="16"/>
          <w:szCs w:val="16"/>
        </w:rPr>
      </w:r>
      <w:r>
        <w:rPr>
          <w:color w:val="000000"/>
          <w:sz w:val="16"/>
          <w:szCs w:val="16"/>
        </w:rPr>
        <w:fldChar w:fldCharType="separate"/>
      </w:r>
      <w:r>
        <w:rPr>
          <w:color w:val="000000"/>
          <w:sz w:val="16"/>
          <w:szCs w:val="16"/>
          <w:vertAlign w:val="superscript"/>
        </w:rPr>
        <w:t>130</w:t>
      </w:r>
      <w:r>
        <w:rPr>
          <w:color w:val="000000"/>
          <w:sz w:val="16"/>
          <w:szCs w:val="16"/>
        </w:rPr>
        <w:fldChar w:fldCharType="end"/>
      </w:r>
      <w:r>
        <w:rPr>
          <w:color w:val="000000"/>
        </w:rPr>
        <w:t xml:space="preserve"> Agency guidance clarifies that “reasonable evidence” is “a standard that could be met by a wide range of evidence,” including evidence that “would not also support a higher evidentiary standard, such as a finding that there is a ‘preponderance’ of evidence that a product actually causes a particular kind of adverse event.”</w:t>
      </w:r>
      <w:bookmarkStart w:id="257" w:name="co_footnoteReference_B01322041287330_ID0"/>
      <w:bookmarkEnd w:id="257"/>
      <w:r>
        <w:rPr>
          <w:color w:val="000000"/>
          <w:sz w:val="16"/>
          <w:szCs w:val="16"/>
        </w:rPr>
        <w:fldChar w:fldCharType="begin"/>
      </w:r>
      <w:r>
        <w:rPr>
          <w:color w:val="000000"/>
          <w:sz w:val="16"/>
          <w:szCs w:val="16"/>
        </w:rPr>
        <w:instrText xml:space="preserve">HYPERLINK "#co_footnote_B01322041287330_1" </w:instrText>
      </w:r>
      <w:r w:rsidR="00F61700">
        <w:rPr>
          <w:color w:val="000000"/>
          <w:sz w:val="16"/>
          <w:szCs w:val="16"/>
        </w:rPr>
      </w:r>
      <w:r>
        <w:rPr>
          <w:color w:val="000000"/>
          <w:sz w:val="16"/>
          <w:szCs w:val="16"/>
        </w:rPr>
        <w:fldChar w:fldCharType="separate"/>
      </w:r>
      <w:r>
        <w:rPr>
          <w:color w:val="000000"/>
          <w:sz w:val="16"/>
          <w:szCs w:val="16"/>
          <w:vertAlign w:val="superscript"/>
        </w:rPr>
        <w:t>131</w:t>
      </w:r>
      <w:r>
        <w:rPr>
          <w:color w:val="000000"/>
          <w:sz w:val="16"/>
          <w:szCs w:val="16"/>
        </w:rPr>
        <w:fldChar w:fldCharType="end"/>
      </w:r>
      <w:r>
        <w:rPr>
          <w:color w:val="000000"/>
        </w:rPr>
        <w:t xml:space="preserve"> Merck therefore claims that application of the clear evidence standard should be left to the courts because it “calls for the interpretation of regulations and agency records freighted with legal meaning.”</w:t>
      </w:r>
      <w:bookmarkStart w:id="258" w:name="co_footnoteReference_B01332041287330_ID0"/>
      <w:bookmarkEnd w:id="258"/>
      <w:r>
        <w:rPr>
          <w:color w:val="000000"/>
          <w:sz w:val="16"/>
          <w:szCs w:val="16"/>
        </w:rPr>
        <w:fldChar w:fldCharType="begin"/>
      </w:r>
      <w:r>
        <w:rPr>
          <w:color w:val="000000"/>
          <w:sz w:val="16"/>
          <w:szCs w:val="16"/>
        </w:rPr>
        <w:instrText xml:space="preserve">HYPERLINK "#co_footnote_B01332041287330_1" </w:instrText>
      </w:r>
      <w:r w:rsidR="00F61700">
        <w:rPr>
          <w:color w:val="000000"/>
          <w:sz w:val="16"/>
          <w:szCs w:val="16"/>
        </w:rPr>
      </w:r>
      <w:r>
        <w:rPr>
          <w:color w:val="000000"/>
          <w:sz w:val="16"/>
          <w:szCs w:val="16"/>
        </w:rPr>
        <w:fldChar w:fldCharType="separate"/>
      </w:r>
      <w:r>
        <w:rPr>
          <w:color w:val="000000"/>
          <w:sz w:val="16"/>
          <w:szCs w:val="16"/>
          <w:vertAlign w:val="superscript"/>
        </w:rPr>
        <w:t>132</w:t>
      </w:r>
      <w:r>
        <w:rPr>
          <w:color w:val="000000"/>
          <w:sz w:val="16"/>
          <w:szCs w:val="16"/>
        </w:rPr>
        <w:fldChar w:fldCharType="end"/>
      </w:r>
    </w:p>
    <w:p w14:paraId="35731B39"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15DECBB2" w14:textId="77777777">
        <w:tblPrEx>
          <w:tblCellMar>
            <w:top w:w="0" w:type="dxa"/>
            <w:left w:w="0" w:type="dxa"/>
            <w:bottom w:w="0" w:type="dxa"/>
            <w:right w:w="0" w:type="dxa"/>
          </w:tblCellMar>
        </w:tblPrEx>
        <w:tc>
          <w:tcPr>
            <w:tcW w:w="600" w:type="dxa"/>
            <w:tcBorders>
              <w:top w:val="nil"/>
              <w:left w:val="nil"/>
              <w:bottom w:val="nil"/>
              <w:right w:val="nil"/>
            </w:tcBorders>
          </w:tcPr>
          <w:bookmarkStart w:id="259" w:name="co_footnote_B01272041287330_1"/>
          <w:bookmarkEnd w:id="259"/>
          <w:p w14:paraId="1BE827B6"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"#co_footnoteReference_B01272041287330_ID0" </w:instrText>
            </w:r>
            <w:r w:rsidR="00F61700">
              <w:rPr>
                <w:color w:val="000000"/>
              </w:rPr>
            </w:r>
            <w:r>
              <w:rPr>
                <w:color w:val="000000"/>
              </w:rPr>
              <w:fldChar w:fldCharType="separate"/>
            </w:r>
            <w:r>
              <w:rPr>
                <w:color w:val="000000"/>
                <w:vertAlign w:val="superscript"/>
              </w:rPr>
              <w:t>126</w:t>
            </w:r>
            <w:r>
              <w:rPr>
                <w:color w:val="000000"/>
              </w:rPr>
              <w:fldChar w:fldCharType="end"/>
            </w:r>
          </w:p>
          <w:p w14:paraId="344827F7"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4F320712" w14:textId="77777777" w:rsidR="00793DC4" w:rsidRDefault="00793DC4">
            <w:pPr>
              <w:widowControl w:val="0"/>
              <w:autoSpaceDE w:val="0"/>
              <w:autoSpaceDN w:val="0"/>
              <w:adjustRightInd w:val="0"/>
              <w:jc w:val="both"/>
              <w:rPr>
                <w:color w:val="000000"/>
                <w:sz w:val="18"/>
                <w:szCs w:val="18"/>
              </w:rPr>
            </w:pPr>
            <w:r>
              <w:rPr>
                <w:i/>
                <w:iCs/>
                <w:color w:val="000000"/>
                <w:sz w:val="18"/>
                <w:szCs w:val="18"/>
              </w:rPr>
              <w:t xml:space="preserve">See </w:t>
            </w:r>
            <w:hyperlink r:id="rId368" w:history="1">
              <w:r>
                <w:rPr>
                  <w:i/>
                  <w:iCs/>
                  <w:color w:val="000000"/>
                  <w:sz w:val="18"/>
                  <w:szCs w:val="18"/>
                </w:rPr>
                <w:t>Miller</w:t>
              </w:r>
              <w:r>
                <w:rPr>
                  <w:color w:val="000000"/>
                  <w:sz w:val="18"/>
                  <w:szCs w:val="18"/>
                </w:rPr>
                <w:t xml:space="preserve">, 474 U.S. at 114, 106 </w:t>
              </w:r>
              <w:proofErr w:type="spellStart"/>
              <w:r>
                <w:rPr>
                  <w:color w:val="000000"/>
                  <w:sz w:val="18"/>
                  <w:szCs w:val="18"/>
                </w:rPr>
                <w:t>S.Ct</w:t>
              </w:r>
              <w:proofErr w:type="spellEnd"/>
              <w:r>
                <w:rPr>
                  <w:color w:val="000000"/>
                  <w:sz w:val="18"/>
                  <w:szCs w:val="18"/>
                </w:rPr>
                <w:t>. 445</w:t>
              </w:r>
            </w:hyperlink>
            <w:r>
              <w:rPr>
                <w:color w:val="000000"/>
                <w:sz w:val="18"/>
                <w:szCs w:val="18"/>
              </w:rPr>
              <w:t xml:space="preserve"> (“[</w:t>
            </w:r>
            <w:proofErr w:type="gramStart"/>
            <w:r>
              <w:rPr>
                <w:color w:val="000000"/>
                <w:sz w:val="18"/>
                <w:szCs w:val="18"/>
              </w:rPr>
              <w:t>T]he</w:t>
            </w:r>
            <w:proofErr w:type="gramEnd"/>
            <w:r>
              <w:rPr>
                <w:color w:val="000000"/>
                <w:sz w:val="18"/>
                <w:szCs w:val="18"/>
              </w:rPr>
              <w:t xml:space="preserve"> fact/law distinction at times has turned on a determination that, as a matter of the sound administration of justice, one judicial actor is better positioned than another to decide the issue in question.”).</w:t>
            </w:r>
          </w:p>
          <w:p w14:paraId="4D461D4C" w14:textId="77777777" w:rsidR="00793DC4" w:rsidRDefault="00793DC4">
            <w:pPr>
              <w:widowControl w:val="0"/>
              <w:autoSpaceDE w:val="0"/>
              <w:autoSpaceDN w:val="0"/>
              <w:adjustRightInd w:val="0"/>
              <w:jc w:val="both"/>
              <w:rPr>
                <w:color w:val="000000"/>
                <w:sz w:val="18"/>
                <w:szCs w:val="18"/>
              </w:rPr>
            </w:pPr>
          </w:p>
        </w:tc>
      </w:tr>
    </w:tbl>
    <w:p w14:paraId="1F393266"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11CA3813" w14:textId="77777777">
        <w:tblPrEx>
          <w:tblCellMar>
            <w:top w:w="0" w:type="dxa"/>
            <w:left w:w="0" w:type="dxa"/>
            <w:bottom w:w="0" w:type="dxa"/>
            <w:right w:w="0" w:type="dxa"/>
          </w:tblCellMar>
        </w:tblPrEx>
        <w:tc>
          <w:tcPr>
            <w:tcW w:w="600" w:type="dxa"/>
            <w:tcBorders>
              <w:top w:val="nil"/>
              <w:left w:val="nil"/>
              <w:bottom w:val="nil"/>
              <w:right w:val="nil"/>
            </w:tcBorders>
          </w:tcPr>
          <w:bookmarkStart w:id="260" w:name="co_footnote_B01282041287330_1"/>
          <w:bookmarkEnd w:id="260"/>
          <w:p w14:paraId="704F3883"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"#co_footnoteReference_B01282041287330_ID0" </w:instrText>
            </w:r>
            <w:r w:rsidR="00F61700">
              <w:rPr>
                <w:color w:val="000000"/>
              </w:rPr>
            </w:r>
            <w:r>
              <w:rPr>
                <w:color w:val="000000"/>
              </w:rPr>
              <w:fldChar w:fldCharType="separate"/>
            </w:r>
            <w:r>
              <w:rPr>
                <w:color w:val="000000"/>
                <w:vertAlign w:val="superscript"/>
              </w:rPr>
              <w:t>127</w:t>
            </w:r>
            <w:r>
              <w:rPr>
                <w:color w:val="000000"/>
              </w:rPr>
              <w:fldChar w:fldCharType="end"/>
            </w:r>
          </w:p>
          <w:p w14:paraId="2A37E20B"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3CE77B91" w14:textId="77777777" w:rsidR="00793DC4" w:rsidRDefault="00793DC4">
            <w:pPr>
              <w:widowControl w:val="0"/>
              <w:autoSpaceDE w:val="0"/>
              <w:autoSpaceDN w:val="0"/>
              <w:adjustRightInd w:val="0"/>
              <w:jc w:val="both"/>
              <w:rPr>
                <w:color w:val="000000"/>
                <w:sz w:val="18"/>
                <w:szCs w:val="18"/>
              </w:rPr>
            </w:pPr>
            <w:hyperlink r:id="rId369" w:history="1">
              <w:r>
                <w:rPr>
                  <w:color w:val="000000"/>
                  <w:sz w:val="18"/>
                  <w:szCs w:val="18"/>
                </w:rPr>
                <w:t xml:space="preserve">517 U.S. 370, 116 </w:t>
              </w:r>
              <w:proofErr w:type="spellStart"/>
              <w:r>
                <w:rPr>
                  <w:color w:val="000000"/>
                  <w:sz w:val="18"/>
                  <w:szCs w:val="18"/>
                </w:rPr>
                <w:t>S.Ct</w:t>
              </w:r>
              <w:proofErr w:type="spellEnd"/>
              <w:r>
                <w:rPr>
                  <w:color w:val="000000"/>
                  <w:sz w:val="18"/>
                  <w:szCs w:val="18"/>
                </w:rPr>
                <w:t>. 1384, 134 L.Ed.2d 577 (1996)</w:t>
              </w:r>
            </w:hyperlink>
            <w:r>
              <w:rPr>
                <w:color w:val="000000"/>
                <w:sz w:val="18"/>
                <w:szCs w:val="18"/>
              </w:rPr>
              <w:t>.</w:t>
            </w:r>
          </w:p>
          <w:p w14:paraId="177C2CAA" w14:textId="77777777" w:rsidR="00793DC4" w:rsidRDefault="00793DC4">
            <w:pPr>
              <w:widowControl w:val="0"/>
              <w:autoSpaceDE w:val="0"/>
              <w:autoSpaceDN w:val="0"/>
              <w:adjustRightInd w:val="0"/>
              <w:jc w:val="both"/>
              <w:rPr>
                <w:color w:val="000000"/>
                <w:sz w:val="18"/>
                <w:szCs w:val="18"/>
              </w:rPr>
            </w:pPr>
          </w:p>
        </w:tc>
      </w:tr>
    </w:tbl>
    <w:p w14:paraId="15D5DADD"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184D4D90" w14:textId="77777777">
        <w:tblPrEx>
          <w:tblCellMar>
            <w:top w:w="0" w:type="dxa"/>
            <w:left w:w="0" w:type="dxa"/>
            <w:bottom w:w="0" w:type="dxa"/>
            <w:right w:w="0" w:type="dxa"/>
          </w:tblCellMar>
        </w:tblPrEx>
        <w:tc>
          <w:tcPr>
            <w:tcW w:w="600" w:type="dxa"/>
            <w:tcBorders>
              <w:top w:val="nil"/>
              <w:left w:val="nil"/>
              <w:bottom w:val="nil"/>
              <w:right w:val="nil"/>
            </w:tcBorders>
          </w:tcPr>
          <w:bookmarkStart w:id="261" w:name="co_footnote_B01292041287330_1"/>
          <w:bookmarkEnd w:id="261"/>
          <w:p w14:paraId="483A1F56"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"#co_footnoteReference_B01292041287330_ID0" </w:instrText>
            </w:r>
            <w:r w:rsidR="00F61700">
              <w:rPr>
                <w:color w:val="000000"/>
              </w:rPr>
            </w:r>
            <w:r>
              <w:rPr>
                <w:color w:val="000000"/>
              </w:rPr>
              <w:fldChar w:fldCharType="separate"/>
            </w:r>
            <w:r>
              <w:rPr>
                <w:color w:val="000000"/>
                <w:vertAlign w:val="superscript"/>
              </w:rPr>
              <w:t>128</w:t>
            </w:r>
            <w:r>
              <w:rPr>
                <w:color w:val="000000"/>
              </w:rPr>
              <w:fldChar w:fldCharType="end"/>
            </w:r>
          </w:p>
          <w:p w14:paraId="78D0F1EB"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02DDAFBF" w14:textId="77777777" w:rsidR="00793DC4" w:rsidRDefault="00793DC4">
            <w:pPr>
              <w:widowControl w:val="0"/>
              <w:autoSpaceDE w:val="0"/>
              <w:autoSpaceDN w:val="0"/>
              <w:adjustRightInd w:val="0"/>
              <w:jc w:val="both"/>
              <w:rPr>
                <w:color w:val="000000"/>
                <w:sz w:val="18"/>
                <w:szCs w:val="18"/>
              </w:rPr>
            </w:pPr>
            <w:hyperlink r:id="rId370" w:history="1">
              <w:r>
                <w:rPr>
                  <w:i/>
                  <w:iCs/>
                  <w:color w:val="000000"/>
                  <w:sz w:val="18"/>
                  <w:szCs w:val="18"/>
                </w:rPr>
                <w:t>Id</w:t>
              </w:r>
              <w:r>
                <w:rPr>
                  <w:color w:val="000000"/>
                  <w:sz w:val="18"/>
                  <w:szCs w:val="18"/>
                </w:rPr>
                <w:t xml:space="preserve">. at 372, 116 </w:t>
              </w:r>
              <w:proofErr w:type="spellStart"/>
              <w:r>
                <w:rPr>
                  <w:color w:val="000000"/>
                  <w:sz w:val="18"/>
                  <w:szCs w:val="18"/>
                </w:rPr>
                <w:t>S.Ct</w:t>
              </w:r>
              <w:proofErr w:type="spellEnd"/>
              <w:r>
                <w:rPr>
                  <w:color w:val="000000"/>
                  <w:sz w:val="18"/>
                  <w:szCs w:val="18"/>
                </w:rPr>
                <w:t>. 1384</w:t>
              </w:r>
            </w:hyperlink>
            <w:r>
              <w:rPr>
                <w:color w:val="000000"/>
                <w:sz w:val="18"/>
                <w:szCs w:val="18"/>
              </w:rPr>
              <w:t>.</w:t>
            </w:r>
          </w:p>
          <w:p w14:paraId="0DABF11B" w14:textId="77777777" w:rsidR="00793DC4" w:rsidRDefault="00793DC4">
            <w:pPr>
              <w:widowControl w:val="0"/>
              <w:autoSpaceDE w:val="0"/>
              <w:autoSpaceDN w:val="0"/>
              <w:adjustRightInd w:val="0"/>
              <w:jc w:val="both"/>
              <w:rPr>
                <w:color w:val="000000"/>
                <w:sz w:val="18"/>
                <w:szCs w:val="18"/>
              </w:rPr>
            </w:pPr>
          </w:p>
        </w:tc>
      </w:tr>
    </w:tbl>
    <w:p w14:paraId="68A552FE"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264DAA3A" w14:textId="77777777">
        <w:tblPrEx>
          <w:tblCellMar>
            <w:top w:w="0" w:type="dxa"/>
            <w:left w:w="0" w:type="dxa"/>
            <w:bottom w:w="0" w:type="dxa"/>
            <w:right w:w="0" w:type="dxa"/>
          </w:tblCellMar>
        </w:tblPrEx>
        <w:tc>
          <w:tcPr>
            <w:tcW w:w="600" w:type="dxa"/>
            <w:tcBorders>
              <w:top w:val="nil"/>
              <w:left w:val="nil"/>
              <w:bottom w:val="nil"/>
              <w:right w:val="nil"/>
            </w:tcBorders>
          </w:tcPr>
          <w:bookmarkStart w:id="262" w:name="co_footnote_B01302041287330_1"/>
          <w:bookmarkEnd w:id="262"/>
          <w:p w14:paraId="296DD7A1"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"#co_footnoteReference_B01302041287330_ID0" </w:instrText>
            </w:r>
            <w:r w:rsidR="00F61700">
              <w:rPr>
                <w:color w:val="000000"/>
              </w:rPr>
            </w:r>
            <w:r>
              <w:rPr>
                <w:color w:val="000000"/>
              </w:rPr>
              <w:fldChar w:fldCharType="separate"/>
            </w:r>
            <w:r>
              <w:rPr>
                <w:color w:val="000000"/>
                <w:vertAlign w:val="superscript"/>
              </w:rPr>
              <w:t>129</w:t>
            </w:r>
            <w:r>
              <w:rPr>
                <w:color w:val="000000"/>
              </w:rPr>
              <w:fldChar w:fldCharType="end"/>
            </w:r>
          </w:p>
          <w:p w14:paraId="75F610E7"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7BF370D0" w14:textId="77777777" w:rsidR="00793DC4" w:rsidRDefault="00793DC4">
            <w:pPr>
              <w:widowControl w:val="0"/>
              <w:autoSpaceDE w:val="0"/>
              <w:autoSpaceDN w:val="0"/>
              <w:adjustRightInd w:val="0"/>
              <w:jc w:val="both"/>
              <w:rPr>
                <w:color w:val="000000"/>
                <w:sz w:val="18"/>
                <w:szCs w:val="18"/>
              </w:rPr>
            </w:pPr>
            <w:hyperlink r:id="rId371" w:history="1">
              <w:r>
                <w:rPr>
                  <w:i/>
                  <w:iCs/>
                  <w:color w:val="000000"/>
                  <w:sz w:val="18"/>
                  <w:szCs w:val="18"/>
                </w:rPr>
                <w:t>Id</w:t>
              </w:r>
              <w:r>
                <w:rPr>
                  <w:color w:val="000000"/>
                  <w:sz w:val="18"/>
                  <w:szCs w:val="18"/>
                </w:rPr>
                <w:t xml:space="preserve">. at 388, 116 </w:t>
              </w:r>
              <w:proofErr w:type="spellStart"/>
              <w:r>
                <w:rPr>
                  <w:color w:val="000000"/>
                  <w:sz w:val="18"/>
                  <w:szCs w:val="18"/>
                </w:rPr>
                <w:t>S.Ct</w:t>
              </w:r>
              <w:proofErr w:type="spellEnd"/>
              <w:r>
                <w:rPr>
                  <w:color w:val="000000"/>
                  <w:sz w:val="18"/>
                  <w:szCs w:val="18"/>
                </w:rPr>
                <w:t>. 1384</w:t>
              </w:r>
            </w:hyperlink>
            <w:r>
              <w:rPr>
                <w:color w:val="000000"/>
                <w:sz w:val="18"/>
                <w:szCs w:val="18"/>
              </w:rPr>
              <w:t>.</w:t>
            </w:r>
          </w:p>
          <w:p w14:paraId="453BE85A" w14:textId="77777777" w:rsidR="00793DC4" w:rsidRDefault="00793DC4">
            <w:pPr>
              <w:widowControl w:val="0"/>
              <w:autoSpaceDE w:val="0"/>
              <w:autoSpaceDN w:val="0"/>
              <w:adjustRightInd w:val="0"/>
              <w:jc w:val="both"/>
              <w:rPr>
                <w:color w:val="000000"/>
                <w:sz w:val="18"/>
                <w:szCs w:val="18"/>
              </w:rPr>
            </w:pPr>
          </w:p>
        </w:tc>
      </w:tr>
    </w:tbl>
    <w:p w14:paraId="0C882B45"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0408EBB9" w14:textId="77777777">
        <w:tblPrEx>
          <w:tblCellMar>
            <w:top w:w="0" w:type="dxa"/>
            <w:left w:w="0" w:type="dxa"/>
            <w:bottom w:w="0" w:type="dxa"/>
            <w:right w:w="0" w:type="dxa"/>
          </w:tblCellMar>
        </w:tblPrEx>
        <w:tc>
          <w:tcPr>
            <w:tcW w:w="600" w:type="dxa"/>
            <w:tcBorders>
              <w:top w:val="nil"/>
              <w:left w:val="nil"/>
              <w:bottom w:val="nil"/>
              <w:right w:val="nil"/>
            </w:tcBorders>
          </w:tcPr>
          <w:bookmarkStart w:id="263" w:name="co_footnote_B01312041287330_1"/>
          <w:bookmarkEnd w:id="263"/>
          <w:p w14:paraId="5EF0B262"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"#co_footnoteReference_B01312041287330_ID0" </w:instrText>
            </w:r>
            <w:r w:rsidR="00F61700">
              <w:rPr>
                <w:color w:val="000000"/>
              </w:rPr>
            </w:r>
            <w:r>
              <w:rPr>
                <w:color w:val="000000"/>
              </w:rPr>
              <w:fldChar w:fldCharType="separate"/>
            </w:r>
            <w:r>
              <w:rPr>
                <w:color w:val="000000"/>
                <w:vertAlign w:val="superscript"/>
              </w:rPr>
              <w:t>130</w:t>
            </w:r>
            <w:r>
              <w:rPr>
                <w:color w:val="000000"/>
              </w:rPr>
              <w:fldChar w:fldCharType="end"/>
            </w:r>
          </w:p>
          <w:p w14:paraId="52F83BE8"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181F191D" w14:textId="77777777" w:rsidR="00793DC4" w:rsidRDefault="00793DC4">
            <w:pPr>
              <w:widowControl w:val="0"/>
              <w:autoSpaceDE w:val="0"/>
              <w:autoSpaceDN w:val="0"/>
              <w:adjustRightInd w:val="0"/>
              <w:jc w:val="both"/>
              <w:rPr>
                <w:color w:val="000000"/>
                <w:sz w:val="18"/>
                <w:szCs w:val="18"/>
              </w:rPr>
            </w:pPr>
            <w:hyperlink r:id="rId372" w:history="1">
              <w:r>
                <w:rPr>
                  <w:color w:val="000000"/>
                  <w:sz w:val="18"/>
                  <w:szCs w:val="18"/>
                </w:rPr>
                <w:t>21 C.F.R. § 201.57(c)(6)(</w:t>
              </w:r>
              <w:proofErr w:type="spellStart"/>
              <w:r>
                <w:rPr>
                  <w:color w:val="000000"/>
                  <w:sz w:val="18"/>
                  <w:szCs w:val="18"/>
                </w:rPr>
                <w:t>i</w:t>
              </w:r>
              <w:proofErr w:type="spellEnd"/>
              <w:r>
                <w:rPr>
                  <w:color w:val="000000"/>
                  <w:sz w:val="18"/>
                  <w:szCs w:val="18"/>
                </w:rPr>
                <w:t>)</w:t>
              </w:r>
            </w:hyperlink>
            <w:r>
              <w:rPr>
                <w:color w:val="000000"/>
                <w:sz w:val="18"/>
                <w:szCs w:val="18"/>
              </w:rPr>
              <w:t>.</w:t>
            </w:r>
          </w:p>
          <w:p w14:paraId="7C131B3D" w14:textId="77777777" w:rsidR="00793DC4" w:rsidRDefault="00793DC4">
            <w:pPr>
              <w:widowControl w:val="0"/>
              <w:autoSpaceDE w:val="0"/>
              <w:autoSpaceDN w:val="0"/>
              <w:adjustRightInd w:val="0"/>
              <w:jc w:val="both"/>
              <w:rPr>
                <w:color w:val="000000"/>
                <w:sz w:val="18"/>
                <w:szCs w:val="18"/>
              </w:rPr>
            </w:pPr>
          </w:p>
        </w:tc>
      </w:tr>
    </w:tbl>
    <w:p w14:paraId="6547D5B9"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1FE6CF39" w14:textId="77777777">
        <w:tblPrEx>
          <w:tblCellMar>
            <w:top w:w="0" w:type="dxa"/>
            <w:left w:w="0" w:type="dxa"/>
            <w:bottom w:w="0" w:type="dxa"/>
            <w:right w:w="0" w:type="dxa"/>
          </w:tblCellMar>
        </w:tblPrEx>
        <w:tc>
          <w:tcPr>
            <w:tcW w:w="600" w:type="dxa"/>
            <w:tcBorders>
              <w:top w:val="nil"/>
              <w:left w:val="nil"/>
              <w:bottom w:val="nil"/>
              <w:right w:val="nil"/>
            </w:tcBorders>
          </w:tcPr>
          <w:bookmarkStart w:id="264" w:name="co_footnote_B01322041287330_1"/>
          <w:bookmarkEnd w:id="264"/>
          <w:p w14:paraId="0FDEF8EB"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"#co_footnoteReference_B01322041287330_ID0" </w:instrText>
            </w:r>
            <w:r w:rsidR="00F61700">
              <w:rPr>
                <w:color w:val="000000"/>
              </w:rPr>
            </w:r>
            <w:r>
              <w:rPr>
                <w:color w:val="000000"/>
              </w:rPr>
              <w:fldChar w:fldCharType="separate"/>
            </w:r>
            <w:r>
              <w:rPr>
                <w:color w:val="000000"/>
                <w:vertAlign w:val="superscript"/>
              </w:rPr>
              <w:t>131</w:t>
            </w:r>
            <w:r>
              <w:rPr>
                <w:color w:val="000000"/>
              </w:rPr>
              <w:fldChar w:fldCharType="end"/>
            </w:r>
          </w:p>
          <w:p w14:paraId="7800199F"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36E3E931" w14:textId="77777777" w:rsidR="00793DC4" w:rsidRDefault="00793DC4">
            <w:pPr>
              <w:widowControl w:val="0"/>
              <w:autoSpaceDE w:val="0"/>
              <w:autoSpaceDN w:val="0"/>
              <w:adjustRightInd w:val="0"/>
              <w:jc w:val="both"/>
              <w:rPr>
                <w:color w:val="000000"/>
                <w:sz w:val="18"/>
                <w:szCs w:val="18"/>
              </w:rPr>
            </w:pPr>
            <w:hyperlink r:id="rId373" w:history="1">
              <w:r>
                <w:rPr>
                  <w:color w:val="000000"/>
                  <w:sz w:val="18"/>
                  <w:szCs w:val="18"/>
                </w:rPr>
                <w:t>73 Fed. Reg. 49,603, 49,604 (Aug. 22, 2008)</w:t>
              </w:r>
            </w:hyperlink>
            <w:r>
              <w:rPr>
                <w:color w:val="000000"/>
                <w:sz w:val="18"/>
                <w:szCs w:val="18"/>
              </w:rPr>
              <w:t>.</w:t>
            </w:r>
          </w:p>
          <w:p w14:paraId="6075BD2A" w14:textId="77777777" w:rsidR="00793DC4" w:rsidRDefault="00793DC4">
            <w:pPr>
              <w:widowControl w:val="0"/>
              <w:autoSpaceDE w:val="0"/>
              <w:autoSpaceDN w:val="0"/>
              <w:adjustRightInd w:val="0"/>
              <w:jc w:val="both"/>
              <w:rPr>
                <w:color w:val="000000"/>
                <w:sz w:val="18"/>
                <w:szCs w:val="18"/>
              </w:rPr>
            </w:pPr>
          </w:p>
        </w:tc>
      </w:tr>
    </w:tbl>
    <w:p w14:paraId="74A884D0"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744C3BE5" w14:textId="77777777">
        <w:tblPrEx>
          <w:tblCellMar>
            <w:top w:w="0" w:type="dxa"/>
            <w:left w:w="0" w:type="dxa"/>
            <w:bottom w:w="0" w:type="dxa"/>
            <w:right w:w="0" w:type="dxa"/>
          </w:tblCellMar>
        </w:tblPrEx>
        <w:tc>
          <w:tcPr>
            <w:tcW w:w="600" w:type="dxa"/>
            <w:tcBorders>
              <w:top w:val="nil"/>
              <w:left w:val="nil"/>
              <w:bottom w:val="nil"/>
              <w:right w:val="nil"/>
            </w:tcBorders>
          </w:tcPr>
          <w:bookmarkStart w:id="265" w:name="co_footnote_B01332041287330_1"/>
          <w:bookmarkEnd w:id="265"/>
          <w:p w14:paraId="7FFC07DC"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"#co_footnoteReference_B01332041287330_ID0" </w:instrText>
            </w:r>
            <w:r w:rsidR="00F61700">
              <w:rPr>
                <w:color w:val="000000"/>
              </w:rPr>
            </w:r>
            <w:r>
              <w:rPr>
                <w:color w:val="000000"/>
              </w:rPr>
              <w:fldChar w:fldCharType="separate"/>
            </w:r>
            <w:r>
              <w:rPr>
                <w:color w:val="000000"/>
                <w:vertAlign w:val="superscript"/>
              </w:rPr>
              <w:t>132</w:t>
            </w:r>
            <w:r>
              <w:rPr>
                <w:color w:val="000000"/>
              </w:rPr>
              <w:fldChar w:fldCharType="end"/>
            </w:r>
          </w:p>
          <w:p w14:paraId="02C67D22"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13BB3EB9" w14:textId="77777777" w:rsidR="00793DC4" w:rsidRDefault="00793DC4">
            <w:pPr>
              <w:widowControl w:val="0"/>
              <w:autoSpaceDE w:val="0"/>
              <w:autoSpaceDN w:val="0"/>
              <w:adjustRightInd w:val="0"/>
              <w:jc w:val="both"/>
              <w:rPr>
                <w:color w:val="000000"/>
                <w:sz w:val="18"/>
                <w:szCs w:val="18"/>
              </w:rPr>
            </w:pPr>
            <w:r>
              <w:rPr>
                <w:color w:val="000000"/>
                <w:sz w:val="18"/>
                <w:szCs w:val="18"/>
              </w:rPr>
              <w:t xml:space="preserve">Merck Supp. </w:t>
            </w:r>
            <w:proofErr w:type="spellStart"/>
            <w:r>
              <w:rPr>
                <w:color w:val="000000"/>
                <w:sz w:val="18"/>
                <w:szCs w:val="18"/>
              </w:rPr>
              <w:t>Ltr</w:t>
            </w:r>
            <w:proofErr w:type="spellEnd"/>
            <w:r>
              <w:rPr>
                <w:color w:val="000000"/>
                <w:sz w:val="18"/>
                <w:szCs w:val="18"/>
              </w:rPr>
              <w:t>. Br. 4.</w:t>
            </w:r>
          </w:p>
          <w:p w14:paraId="1161E99F" w14:textId="77777777" w:rsidR="00793DC4" w:rsidRDefault="00793DC4">
            <w:pPr>
              <w:widowControl w:val="0"/>
              <w:autoSpaceDE w:val="0"/>
              <w:autoSpaceDN w:val="0"/>
              <w:adjustRightInd w:val="0"/>
              <w:jc w:val="both"/>
              <w:rPr>
                <w:color w:val="000000"/>
                <w:sz w:val="18"/>
                <w:szCs w:val="18"/>
              </w:rPr>
            </w:pPr>
          </w:p>
        </w:tc>
      </w:tr>
    </w:tbl>
    <w:p w14:paraId="2BA2B6CE" w14:textId="77777777" w:rsidR="00793DC4" w:rsidRDefault="00793DC4">
      <w:pPr>
        <w:widowControl w:val="0"/>
        <w:autoSpaceDE w:val="0"/>
        <w:autoSpaceDN w:val="0"/>
        <w:adjustRightInd w:val="0"/>
        <w:jc w:val="both"/>
        <w:rPr>
          <w:color w:val="000000"/>
        </w:rPr>
      </w:pPr>
    </w:p>
    <w:p w14:paraId="1C4BC4FF" w14:textId="77777777" w:rsidR="00793DC4" w:rsidRDefault="00793DC4">
      <w:pPr>
        <w:widowControl w:val="0"/>
        <w:autoSpaceDE w:val="0"/>
        <w:autoSpaceDN w:val="0"/>
        <w:adjustRightInd w:val="0"/>
        <w:jc w:val="both"/>
        <w:rPr>
          <w:color w:val="000000"/>
        </w:rPr>
      </w:pPr>
      <w:r>
        <w:rPr>
          <w:color w:val="000000"/>
        </w:rPr>
        <w:t xml:space="preserve">This argument misapprehends the nature of the </w:t>
      </w:r>
      <w:proofErr w:type="spellStart"/>
      <w:r>
        <w:rPr>
          <w:color w:val="000000"/>
        </w:rPr>
        <w:t>factfinder’s</w:t>
      </w:r>
      <w:proofErr w:type="spellEnd"/>
      <w:r>
        <w:rPr>
          <w:color w:val="000000"/>
        </w:rPr>
        <w:t xml:space="preserve"> task under </w:t>
      </w:r>
      <w:hyperlink r:id="rId374" w:history="1">
        <w:r>
          <w:rPr>
            <w:i/>
            <w:iCs/>
            <w:color w:val="000000"/>
          </w:rPr>
          <w:t>Wyeth</w:t>
        </w:r>
      </w:hyperlink>
      <w:r>
        <w:rPr>
          <w:color w:val="000000"/>
        </w:rPr>
        <w:t xml:space="preserve">. That task is to predict how the FDA would have reacted in a hypothetical scenario. The jury therefore is not being asked to supply a plenary construction of the CBE regulation (or any other written instrument) in the first instance. It is instead being asked to </w:t>
      </w:r>
      <w:r>
        <w:rPr>
          <w:i/>
          <w:iCs/>
          <w:color w:val="000000"/>
        </w:rPr>
        <w:t>apply</w:t>
      </w:r>
      <w:r>
        <w:rPr>
          <w:color w:val="000000"/>
        </w:rPr>
        <w:t xml:space="preserve"> the requirements of that regulation to the facts, in aid of a prediction as to the FDA’s behavior.</w:t>
      </w:r>
    </w:p>
    <w:p w14:paraId="21D11B0B" w14:textId="77777777" w:rsidR="00793DC4" w:rsidRDefault="00793DC4">
      <w:pPr>
        <w:widowControl w:val="0"/>
        <w:autoSpaceDE w:val="0"/>
        <w:autoSpaceDN w:val="0"/>
        <w:adjustRightInd w:val="0"/>
        <w:jc w:val="both"/>
        <w:rPr>
          <w:color w:val="000000"/>
        </w:rPr>
      </w:pPr>
      <w:r>
        <w:rPr>
          <w:color w:val="000000"/>
        </w:rPr>
        <w:t> </w:t>
      </w:r>
    </w:p>
    <w:p w14:paraId="6E073582" w14:textId="77777777" w:rsidR="00793DC4" w:rsidRDefault="00793DC4">
      <w:pPr>
        <w:widowControl w:val="0"/>
        <w:autoSpaceDE w:val="0"/>
        <w:autoSpaceDN w:val="0"/>
        <w:adjustRightInd w:val="0"/>
        <w:jc w:val="both"/>
        <w:rPr>
          <w:color w:val="000000"/>
        </w:rPr>
      </w:pPr>
      <w:r>
        <w:rPr>
          <w:color w:val="000000"/>
        </w:rPr>
        <w:t xml:space="preserve">The operative language in the CBE regulation is neither uncommon nor abstruse. The “reasonable evidence of a causal association” standard requires law-to-fact applications of the sort that courts routinely give to juries in tort cases. It combines two classic jury questions: (1) whether a causal link between two events is too attenuated, and (2) whether the evidence meets a certain proof threshold. These determinations are well within the province of a properly instructed jury, and we do not think that their inclusion in the larger </w:t>
      </w:r>
      <w:hyperlink r:id="rId375" w:history="1">
        <w:r>
          <w:rPr>
            <w:i/>
            <w:iCs/>
            <w:color w:val="000000"/>
          </w:rPr>
          <w:t>Wyeth</w:t>
        </w:r>
      </w:hyperlink>
      <w:r>
        <w:rPr>
          <w:color w:val="000000"/>
        </w:rPr>
        <w:t xml:space="preserve"> inquiry merits reallocation of the </w:t>
      </w:r>
      <w:proofErr w:type="spellStart"/>
      <w:r>
        <w:rPr>
          <w:color w:val="000000"/>
        </w:rPr>
        <w:t>factfinding</w:t>
      </w:r>
      <w:proofErr w:type="spellEnd"/>
      <w:r>
        <w:rPr>
          <w:color w:val="000000"/>
        </w:rPr>
        <w:t xml:space="preserve"> function.</w:t>
      </w:r>
    </w:p>
    <w:p w14:paraId="259CA521" w14:textId="77777777" w:rsidR="00793DC4" w:rsidRDefault="00793DC4">
      <w:pPr>
        <w:widowControl w:val="0"/>
        <w:autoSpaceDE w:val="0"/>
        <w:autoSpaceDN w:val="0"/>
        <w:adjustRightInd w:val="0"/>
        <w:jc w:val="both"/>
        <w:rPr>
          <w:color w:val="000000"/>
        </w:rPr>
      </w:pPr>
      <w:r>
        <w:rPr>
          <w:color w:val="000000"/>
        </w:rPr>
        <w:t> </w:t>
      </w:r>
    </w:p>
    <w:p w14:paraId="0577A1DB" w14:textId="77777777" w:rsidR="00793DC4" w:rsidRDefault="00793DC4">
      <w:pPr>
        <w:widowControl w:val="0"/>
        <w:autoSpaceDE w:val="0"/>
        <w:autoSpaceDN w:val="0"/>
        <w:adjustRightInd w:val="0"/>
        <w:jc w:val="both"/>
        <w:rPr>
          <w:color w:val="000000"/>
          <w:sz w:val="16"/>
          <w:szCs w:val="16"/>
        </w:rPr>
      </w:pPr>
      <w:r>
        <w:rPr>
          <w:color w:val="000000"/>
        </w:rPr>
        <w:t>Plaintiffs, meanwhile, argue that judicial decision-making is required when a preemption determination “depends on construction of final, written regulatory actions by the FDA.”</w:t>
      </w:r>
      <w:bookmarkStart w:id="266" w:name="co_footnoteReference_B01342041287330_ID0"/>
      <w:bookmarkEnd w:id="266"/>
      <w:r>
        <w:rPr>
          <w:color w:val="000000"/>
          <w:sz w:val="16"/>
          <w:szCs w:val="16"/>
        </w:rPr>
        <w:fldChar w:fldCharType="begin"/>
      </w:r>
      <w:r>
        <w:rPr>
          <w:color w:val="000000"/>
          <w:sz w:val="16"/>
          <w:szCs w:val="16"/>
        </w:rPr>
        <w:instrText xml:space="preserve">HYPERLINK "#co_footnote_B01342041287330_1" </w:instrText>
      </w:r>
      <w:r w:rsidR="00F61700">
        <w:rPr>
          <w:color w:val="000000"/>
          <w:sz w:val="16"/>
          <w:szCs w:val="16"/>
        </w:rPr>
      </w:r>
      <w:r>
        <w:rPr>
          <w:color w:val="000000"/>
          <w:sz w:val="16"/>
          <w:szCs w:val="16"/>
        </w:rPr>
        <w:fldChar w:fldCharType="separate"/>
      </w:r>
      <w:r>
        <w:rPr>
          <w:color w:val="000000"/>
          <w:sz w:val="16"/>
          <w:szCs w:val="16"/>
          <w:vertAlign w:val="superscript"/>
        </w:rPr>
        <w:t>133</w:t>
      </w:r>
      <w:r>
        <w:rPr>
          <w:color w:val="000000"/>
          <w:sz w:val="16"/>
          <w:szCs w:val="16"/>
        </w:rPr>
        <w:fldChar w:fldCharType="end"/>
      </w:r>
      <w:r>
        <w:rPr>
          <w:color w:val="000000"/>
        </w:rPr>
        <w:t xml:space="preserve"> They further claim that the FDA’s May 2009 response letter is just such a “final” document, and urge us to construe it “as a matter of law.”</w:t>
      </w:r>
      <w:bookmarkStart w:id="267" w:name="co_footnoteReference_B01352041287330_ID0"/>
      <w:bookmarkEnd w:id="267"/>
      <w:r>
        <w:rPr>
          <w:color w:val="000000"/>
          <w:sz w:val="16"/>
          <w:szCs w:val="16"/>
        </w:rPr>
        <w:fldChar w:fldCharType="begin"/>
      </w:r>
      <w:r>
        <w:rPr>
          <w:color w:val="000000"/>
          <w:sz w:val="16"/>
          <w:szCs w:val="16"/>
        </w:rPr>
        <w:instrText xml:space="preserve">HYPERLINK "#co_footnote_B01352041287330_1" </w:instrText>
      </w:r>
      <w:r w:rsidR="00F61700">
        <w:rPr>
          <w:color w:val="000000"/>
          <w:sz w:val="16"/>
          <w:szCs w:val="16"/>
        </w:rPr>
      </w:r>
      <w:r>
        <w:rPr>
          <w:color w:val="000000"/>
          <w:sz w:val="16"/>
          <w:szCs w:val="16"/>
        </w:rPr>
        <w:fldChar w:fldCharType="separate"/>
      </w:r>
      <w:r>
        <w:rPr>
          <w:color w:val="000000"/>
          <w:sz w:val="16"/>
          <w:szCs w:val="16"/>
          <w:vertAlign w:val="superscript"/>
        </w:rPr>
        <w:t>134</w:t>
      </w:r>
      <w:r>
        <w:rPr>
          <w:color w:val="000000"/>
          <w:sz w:val="16"/>
          <w:szCs w:val="16"/>
        </w:rPr>
        <w:fldChar w:fldCharType="end"/>
      </w:r>
      <w:r>
        <w:rPr>
          <w:color w:val="000000"/>
        </w:rPr>
        <w:t xml:space="preserve"> We will not go so far. As noted above, it is true that courts are typically charged with determining the construction (</w:t>
      </w:r>
      <w:r>
        <w:rPr>
          <w:i/>
          <w:iCs/>
          <w:color w:val="000000"/>
        </w:rPr>
        <w:t>i.e.</w:t>
      </w:r>
      <w:r>
        <w:rPr>
          <w:color w:val="000000"/>
        </w:rPr>
        <w:t xml:space="preserve">, the legal effect) of </w:t>
      </w:r>
      <w:proofErr w:type="gramStart"/>
      <w:r>
        <w:rPr>
          <w:color w:val="000000"/>
        </w:rPr>
        <w:t>a writing</w:t>
      </w:r>
      <w:proofErr w:type="gramEnd"/>
      <w:r>
        <w:rPr>
          <w:color w:val="000000"/>
        </w:rPr>
        <w:t>, as opposed to its interpretation (</w:t>
      </w:r>
      <w:r>
        <w:rPr>
          <w:i/>
          <w:iCs/>
          <w:color w:val="000000"/>
        </w:rPr>
        <w:t>i.e.</w:t>
      </w:r>
      <w:r>
        <w:rPr>
          <w:color w:val="000000"/>
        </w:rPr>
        <w:t xml:space="preserve">, the semantic meaning of specific terms). But that general rule has little bearing on the disposition of this case. The question for preemption purposes is whether the FDA would have approved a different label amendment than the one it actually rejected in the </w:t>
      </w:r>
      <w:r>
        <w:rPr>
          <w:b/>
          <w:bCs/>
          <w:color w:val="000000"/>
        </w:rPr>
        <w:t>*293</w:t>
      </w:r>
      <w:r>
        <w:rPr>
          <w:color w:val="000000"/>
        </w:rPr>
        <w:t xml:space="preserve"> May 2009 letter. The </w:t>
      </w:r>
      <w:proofErr w:type="spellStart"/>
      <w:r>
        <w:rPr>
          <w:color w:val="000000"/>
        </w:rPr>
        <w:t>factfinder</w:t>
      </w:r>
      <w:proofErr w:type="spellEnd"/>
      <w:r>
        <w:rPr>
          <w:color w:val="000000"/>
        </w:rPr>
        <w:t xml:space="preserve"> therefore must parse the FDA’s May 2009 letter not to determine its legal effect in the first instance, but rather to discern what it suggests about the FDA’s likely response to a differently worded proposal. This too is an appropriate task for the jury.</w:t>
      </w:r>
      <w:bookmarkStart w:id="268" w:name="co_footnoteReference_B01362041287330_ID0"/>
      <w:bookmarkEnd w:id="268"/>
      <w:r>
        <w:rPr>
          <w:color w:val="000000"/>
          <w:sz w:val="16"/>
          <w:szCs w:val="16"/>
        </w:rPr>
        <w:fldChar w:fldCharType="begin"/>
      </w:r>
      <w:r>
        <w:rPr>
          <w:color w:val="000000"/>
          <w:sz w:val="16"/>
          <w:szCs w:val="16"/>
        </w:rPr>
        <w:instrText xml:space="preserve">HYPERLINK "#co_footnote_B01362041287330_1" </w:instrText>
      </w:r>
      <w:r w:rsidR="00F61700">
        <w:rPr>
          <w:color w:val="000000"/>
          <w:sz w:val="16"/>
          <w:szCs w:val="16"/>
        </w:rPr>
      </w:r>
      <w:r>
        <w:rPr>
          <w:color w:val="000000"/>
          <w:sz w:val="16"/>
          <w:szCs w:val="16"/>
        </w:rPr>
        <w:fldChar w:fldCharType="separate"/>
      </w:r>
      <w:r>
        <w:rPr>
          <w:color w:val="000000"/>
          <w:sz w:val="16"/>
          <w:szCs w:val="16"/>
          <w:vertAlign w:val="superscript"/>
        </w:rPr>
        <w:t>135</w:t>
      </w:r>
      <w:r>
        <w:rPr>
          <w:color w:val="000000"/>
          <w:sz w:val="16"/>
          <w:szCs w:val="16"/>
        </w:rPr>
        <w:fldChar w:fldCharType="end"/>
      </w:r>
    </w:p>
    <w:p w14:paraId="5989113E"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72E96136" w14:textId="77777777">
        <w:tblPrEx>
          <w:tblCellMar>
            <w:top w:w="0" w:type="dxa"/>
            <w:left w:w="0" w:type="dxa"/>
            <w:bottom w:w="0" w:type="dxa"/>
            <w:right w:w="0" w:type="dxa"/>
          </w:tblCellMar>
        </w:tblPrEx>
        <w:tc>
          <w:tcPr>
            <w:tcW w:w="600" w:type="dxa"/>
            <w:tcBorders>
              <w:top w:val="nil"/>
              <w:left w:val="nil"/>
              <w:bottom w:val="nil"/>
              <w:right w:val="nil"/>
            </w:tcBorders>
          </w:tcPr>
          <w:bookmarkStart w:id="269" w:name="co_footnote_B01342041287330_1"/>
          <w:bookmarkEnd w:id="269"/>
          <w:p w14:paraId="7A676AAF"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"#co_footnoteReference_B01342041287330_ID0" </w:instrText>
            </w:r>
            <w:r w:rsidR="00F61700">
              <w:rPr>
                <w:color w:val="000000"/>
              </w:rPr>
            </w:r>
            <w:r>
              <w:rPr>
                <w:color w:val="000000"/>
              </w:rPr>
              <w:fldChar w:fldCharType="separate"/>
            </w:r>
            <w:r>
              <w:rPr>
                <w:color w:val="000000"/>
                <w:vertAlign w:val="superscript"/>
              </w:rPr>
              <w:t>133</w:t>
            </w:r>
            <w:r>
              <w:rPr>
                <w:color w:val="000000"/>
              </w:rPr>
              <w:fldChar w:fldCharType="end"/>
            </w:r>
          </w:p>
          <w:p w14:paraId="6C74C2BE"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565FE6F0" w14:textId="77777777" w:rsidR="00793DC4" w:rsidRDefault="00793DC4">
            <w:pPr>
              <w:widowControl w:val="0"/>
              <w:autoSpaceDE w:val="0"/>
              <w:autoSpaceDN w:val="0"/>
              <w:adjustRightInd w:val="0"/>
              <w:jc w:val="both"/>
              <w:rPr>
                <w:color w:val="000000"/>
                <w:sz w:val="18"/>
                <w:szCs w:val="18"/>
              </w:rPr>
            </w:pPr>
            <w:r>
              <w:rPr>
                <w:color w:val="000000"/>
                <w:sz w:val="18"/>
                <w:szCs w:val="18"/>
              </w:rPr>
              <w:t xml:space="preserve">Pls. Supp. </w:t>
            </w:r>
            <w:proofErr w:type="spellStart"/>
            <w:r>
              <w:rPr>
                <w:color w:val="000000"/>
                <w:sz w:val="18"/>
                <w:szCs w:val="18"/>
              </w:rPr>
              <w:t>Ltr</w:t>
            </w:r>
            <w:proofErr w:type="spellEnd"/>
            <w:r>
              <w:rPr>
                <w:color w:val="000000"/>
                <w:sz w:val="18"/>
                <w:szCs w:val="18"/>
              </w:rPr>
              <w:t>. Br. 3.</w:t>
            </w:r>
          </w:p>
          <w:p w14:paraId="382B5F07" w14:textId="77777777" w:rsidR="00793DC4" w:rsidRDefault="00793DC4">
            <w:pPr>
              <w:widowControl w:val="0"/>
              <w:autoSpaceDE w:val="0"/>
              <w:autoSpaceDN w:val="0"/>
              <w:adjustRightInd w:val="0"/>
              <w:jc w:val="both"/>
              <w:rPr>
                <w:color w:val="000000"/>
                <w:sz w:val="18"/>
                <w:szCs w:val="18"/>
              </w:rPr>
            </w:pPr>
          </w:p>
        </w:tc>
      </w:tr>
    </w:tbl>
    <w:p w14:paraId="7E43545E"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7288934F" w14:textId="77777777">
        <w:tblPrEx>
          <w:tblCellMar>
            <w:top w:w="0" w:type="dxa"/>
            <w:left w:w="0" w:type="dxa"/>
            <w:bottom w:w="0" w:type="dxa"/>
            <w:right w:w="0" w:type="dxa"/>
          </w:tblCellMar>
        </w:tblPrEx>
        <w:tc>
          <w:tcPr>
            <w:tcW w:w="600" w:type="dxa"/>
            <w:tcBorders>
              <w:top w:val="nil"/>
              <w:left w:val="nil"/>
              <w:bottom w:val="nil"/>
              <w:right w:val="nil"/>
            </w:tcBorders>
          </w:tcPr>
          <w:bookmarkStart w:id="270" w:name="co_footnote_B01352041287330_1"/>
          <w:bookmarkEnd w:id="270"/>
          <w:p w14:paraId="78088ECF"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"#co_footnoteReference_B01352041287330_ID0" </w:instrText>
            </w:r>
            <w:r w:rsidR="00F61700">
              <w:rPr>
                <w:color w:val="000000"/>
              </w:rPr>
            </w:r>
            <w:r>
              <w:rPr>
                <w:color w:val="000000"/>
              </w:rPr>
              <w:fldChar w:fldCharType="separate"/>
            </w:r>
            <w:r>
              <w:rPr>
                <w:color w:val="000000"/>
                <w:vertAlign w:val="superscript"/>
              </w:rPr>
              <w:t>134</w:t>
            </w:r>
            <w:r>
              <w:rPr>
                <w:color w:val="000000"/>
              </w:rPr>
              <w:fldChar w:fldCharType="end"/>
            </w:r>
          </w:p>
          <w:p w14:paraId="7B5B945B"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03575C53" w14:textId="77777777" w:rsidR="00793DC4" w:rsidRDefault="00793DC4">
            <w:pPr>
              <w:widowControl w:val="0"/>
              <w:autoSpaceDE w:val="0"/>
              <w:autoSpaceDN w:val="0"/>
              <w:adjustRightInd w:val="0"/>
              <w:jc w:val="both"/>
              <w:rPr>
                <w:color w:val="000000"/>
                <w:sz w:val="18"/>
                <w:szCs w:val="18"/>
              </w:rPr>
            </w:pPr>
            <w:r>
              <w:rPr>
                <w:i/>
                <w:iCs/>
                <w:color w:val="000000"/>
                <w:sz w:val="18"/>
                <w:szCs w:val="18"/>
              </w:rPr>
              <w:t>Id</w:t>
            </w:r>
            <w:r>
              <w:rPr>
                <w:color w:val="000000"/>
                <w:sz w:val="18"/>
                <w:szCs w:val="18"/>
              </w:rPr>
              <w:t>. 4.</w:t>
            </w:r>
          </w:p>
          <w:p w14:paraId="497D99F8" w14:textId="77777777" w:rsidR="00793DC4" w:rsidRDefault="00793DC4">
            <w:pPr>
              <w:widowControl w:val="0"/>
              <w:autoSpaceDE w:val="0"/>
              <w:autoSpaceDN w:val="0"/>
              <w:adjustRightInd w:val="0"/>
              <w:jc w:val="both"/>
              <w:rPr>
                <w:color w:val="000000"/>
                <w:sz w:val="18"/>
                <w:szCs w:val="18"/>
              </w:rPr>
            </w:pPr>
          </w:p>
        </w:tc>
      </w:tr>
    </w:tbl>
    <w:p w14:paraId="7C884431"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73574AF4" w14:textId="77777777">
        <w:tblPrEx>
          <w:tblCellMar>
            <w:top w:w="0" w:type="dxa"/>
            <w:left w:w="0" w:type="dxa"/>
            <w:bottom w:w="0" w:type="dxa"/>
            <w:right w:w="0" w:type="dxa"/>
          </w:tblCellMar>
        </w:tblPrEx>
        <w:tc>
          <w:tcPr>
            <w:tcW w:w="600" w:type="dxa"/>
            <w:tcBorders>
              <w:top w:val="nil"/>
              <w:left w:val="nil"/>
              <w:bottom w:val="nil"/>
              <w:right w:val="nil"/>
            </w:tcBorders>
          </w:tcPr>
          <w:bookmarkStart w:id="271" w:name="co_footnote_B01362041287330_1"/>
          <w:bookmarkEnd w:id="271"/>
          <w:p w14:paraId="12AD0DCE"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"#co_footnoteReference_B01362041287330_ID0" </w:instrText>
            </w:r>
            <w:r w:rsidR="00F61700">
              <w:rPr>
                <w:color w:val="000000"/>
              </w:rPr>
            </w:r>
            <w:r>
              <w:rPr>
                <w:color w:val="000000"/>
              </w:rPr>
              <w:fldChar w:fldCharType="separate"/>
            </w:r>
            <w:r>
              <w:rPr>
                <w:color w:val="000000"/>
                <w:vertAlign w:val="superscript"/>
              </w:rPr>
              <w:t>135</w:t>
            </w:r>
            <w:r>
              <w:rPr>
                <w:color w:val="000000"/>
              </w:rPr>
              <w:fldChar w:fldCharType="end"/>
            </w:r>
          </w:p>
          <w:p w14:paraId="13F75102"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11EB83E9" w14:textId="77777777" w:rsidR="00793DC4" w:rsidRDefault="00793DC4">
            <w:pPr>
              <w:widowControl w:val="0"/>
              <w:autoSpaceDE w:val="0"/>
              <w:autoSpaceDN w:val="0"/>
              <w:adjustRightInd w:val="0"/>
              <w:jc w:val="both"/>
              <w:rPr>
                <w:color w:val="000000"/>
                <w:sz w:val="18"/>
                <w:szCs w:val="18"/>
              </w:rPr>
            </w:pPr>
            <w:r>
              <w:rPr>
                <w:color w:val="000000"/>
                <w:sz w:val="18"/>
                <w:szCs w:val="18"/>
              </w:rPr>
              <w:t xml:space="preserve">We do not opine on Plaintiffs’ contention that the May 2009 letter rejecting Merck’s PAS application was a “final regulatory action.” If in future cases a court is confronted with a formal regulatory pronouncement that has the force or effect of law, it may be necessary for the court to determine the scope of its legal effect before submitting the ultimate fact question to the jury. A request for such a ruling could be made by motion in </w:t>
            </w:r>
            <w:proofErr w:type="spellStart"/>
            <w:r>
              <w:rPr>
                <w:color w:val="000000"/>
                <w:sz w:val="18"/>
                <w:szCs w:val="18"/>
              </w:rPr>
              <w:t>limine</w:t>
            </w:r>
            <w:proofErr w:type="spellEnd"/>
            <w:r>
              <w:rPr>
                <w:color w:val="000000"/>
                <w:sz w:val="18"/>
                <w:szCs w:val="18"/>
              </w:rPr>
              <w:t xml:space="preserve"> or at summary judgment. But that exercise is unnecessary here because the immediate “legal” effect of the May 2009 letter, if any, was simply to reject Merck’s proposed warning. That limited determination informs but does not answer the larger question of whether the FDA would have approved a </w:t>
            </w:r>
            <w:proofErr w:type="gramStart"/>
            <w:r>
              <w:rPr>
                <w:color w:val="000000"/>
                <w:sz w:val="18"/>
                <w:szCs w:val="18"/>
              </w:rPr>
              <w:t>differently-worded</w:t>
            </w:r>
            <w:proofErr w:type="gramEnd"/>
            <w:r>
              <w:rPr>
                <w:color w:val="000000"/>
                <w:sz w:val="18"/>
                <w:szCs w:val="18"/>
              </w:rPr>
              <w:t xml:space="preserve"> warning.</w:t>
            </w:r>
          </w:p>
          <w:p w14:paraId="13302E61" w14:textId="77777777" w:rsidR="00793DC4" w:rsidRDefault="00793DC4">
            <w:pPr>
              <w:widowControl w:val="0"/>
              <w:autoSpaceDE w:val="0"/>
              <w:autoSpaceDN w:val="0"/>
              <w:adjustRightInd w:val="0"/>
              <w:ind w:left="180"/>
              <w:jc w:val="both"/>
              <w:rPr>
                <w:color w:val="000000"/>
                <w:sz w:val="18"/>
                <w:szCs w:val="18"/>
              </w:rPr>
            </w:pPr>
            <w:r>
              <w:rPr>
                <w:color w:val="000000"/>
                <w:sz w:val="18"/>
                <w:szCs w:val="18"/>
              </w:rPr>
              <w:t xml:space="preserve">Pivoting to the merits, Plaintiffs direct our attention to an FDA regulation stating that an FDA response letter must “describe all of the specific deficiencies that the agency has identified” in an application. </w:t>
            </w:r>
            <w:hyperlink r:id="rId376" w:history="1">
              <w:r>
                <w:rPr>
                  <w:color w:val="000000"/>
                  <w:sz w:val="18"/>
                  <w:szCs w:val="18"/>
                </w:rPr>
                <w:t>21 C.F.R. § 314.110(a)</w:t>
              </w:r>
            </w:hyperlink>
            <w:r>
              <w:rPr>
                <w:color w:val="000000"/>
                <w:sz w:val="18"/>
                <w:szCs w:val="18"/>
              </w:rPr>
              <w:t xml:space="preserve">. Plaintiffs claim that since the May 2009 FDA response letter did not mention any concern over the scientific evidence of a causal association between </w:t>
            </w:r>
            <w:hyperlink r:id="rId377" w:history="1">
              <w:r>
                <w:rPr>
                  <w:color w:val="000000"/>
                  <w:sz w:val="18"/>
                  <w:szCs w:val="18"/>
                </w:rPr>
                <w:t>Fosamax</w:t>
              </w:r>
            </w:hyperlink>
            <w:r>
              <w:rPr>
                <w:color w:val="000000"/>
                <w:sz w:val="18"/>
                <w:szCs w:val="18"/>
              </w:rPr>
              <w:t xml:space="preserve"> and fractures, we can determine as a matter of law that the FDA would have accepted a proposal that eliminated reference to </w:t>
            </w:r>
            <w:hyperlink r:id="rId378" w:history="1">
              <w:r>
                <w:rPr>
                  <w:color w:val="000000"/>
                  <w:sz w:val="18"/>
                  <w:szCs w:val="18"/>
                </w:rPr>
                <w:t>stress fractures</w:t>
              </w:r>
            </w:hyperlink>
            <w:r>
              <w:rPr>
                <w:color w:val="000000"/>
                <w:sz w:val="18"/>
                <w:szCs w:val="18"/>
              </w:rPr>
              <w:t xml:space="preserve">. This is a step too far. Again, the question for the </w:t>
            </w:r>
            <w:proofErr w:type="spellStart"/>
            <w:r>
              <w:rPr>
                <w:color w:val="000000"/>
                <w:sz w:val="18"/>
                <w:szCs w:val="18"/>
              </w:rPr>
              <w:t>factfinder</w:t>
            </w:r>
            <w:proofErr w:type="spellEnd"/>
            <w:r>
              <w:rPr>
                <w:color w:val="000000"/>
                <w:sz w:val="18"/>
                <w:szCs w:val="18"/>
              </w:rPr>
              <w:t xml:space="preserve"> is whether the FDA would have approved a different warning from the one it rejected. The combination of </w:t>
            </w:r>
            <w:hyperlink r:id="rId379" w:history="1">
              <w:r>
                <w:rPr>
                  <w:color w:val="000000"/>
                  <w:sz w:val="18"/>
                  <w:szCs w:val="18"/>
                </w:rPr>
                <w:t>§ 314.110</w:t>
              </w:r>
            </w:hyperlink>
            <w:r>
              <w:rPr>
                <w:color w:val="000000"/>
                <w:sz w:val="18"/>
                <w:szCs w:val="18"/>
              </w:rPr>
              <w:t xml:space="preserve">’s “complete description” requirement and the FDA’s silence in the May 2009 response letter could certainly permit an inference about the FDA’s contemporaneous thinking, and thereby an additional inference about how the FDA would have responded to a different warning. But it does not, and cannot, prove </w:t>
            </w:r>
            <w:r>
              <w:rPr>
                <w:i/>
                <w:iCs/>
                <w:color w:val="000000"/>
                <w:sz w:val="18"/>
                <w:szCs w:val="18"/>
              </w:rPr>
              <w:t>as a matter of law</w:t>
            </w:r>
            <w:r>
              <w:rPr>
                <w:color w:val="000000"/>
                <w:sz w:val="18"/>
                <w:szCs w:val="18"/>
              </w:rPr>
              <w:t xml:space="preserve"> that the FDA would have accepted a warning of the type proposed by Plaintiffs.</w:t>
            </w:r>
          </w:p>
          <w:p w14:paraId="3A700393" w14:textId="77777777" w:rsidR="00793DC4" w:rsidRDefault="00793DC4">
            <w:pPr>
              <w:widowControl w:val="0"/>
              <w:autoSpaceDE w:val="0"/>
              <w:autoSpaceDN w:val="0"/>
              <w:adjustRightInd w:val="0"/>
              <w:ind w:left="180"/>
              <w:jc w:val="both"/>
              <w:rPr>
                <w:color w:val="000000"/>
                <w:sz w:val="18"/>
                <w:szCs w:val="18"/>
              </w:rPr>
            </w:pPr>
            <w:r>
              <w:rPr>
                <w:color w:val="000000"/>
                <w:sz w:val="18"/>
                <w:szCs w:val="18"/>
              </w:rPr>
              <w:t xml:space="preserve">Nor, for that matter, are we ready to blindly accept Plaintiffs’ implicit assumption that Dr. Monroe, the author of the May 2009 letter, followed </w:t>
            </w:r>
            <w:hyperlink r:id="rId380" w:history="1">
              <w:r>
                <w:rPr>
                  <w:color w:val="000000"/>
                  <w:sz w:val="18"/>
                  <w:szCs w:val="18"/>
                </w:rPr>
                <w:t>§ 314.110</w:t>
              </w:r>
            </w:hyperlink>
            <w:r>
              <w:rPr>
                <w:color w:val="000000"/>
                <w:sz w:val="18"/>
                <w:szCs w:val="18"/>
              </w:rPr>
              <w:t xml:space="preserve"> to a T or had its requirements foremost in mind when drafting. After all, Merck’s contention is that Dr. Monroe gave additional reasons for the rejection, not disclosed in the May 2009 letter, in his telephone communications with Merck. We of course do not mean to impugn Dr. Monroe or to suggest that the May 2009 letter did not in fact comply with </w:t>
            </w:r>
            <w:hyperlink r:id="rId381" w:history="1">
              <w:r>
                <w:rPr>
                  <w:color w:val="000000"/>
                  <w:sz w:val="18"/>
                  <w:szCs w:val="18"/>
                </w:rPr>
                <w:t>§ 314.110</w:t>
              </w:r>
            </w:hyperlink>
            <w:r>
              <w:rPr>
                <w:color w:val="000000"/>
                <w:sz w:val="18"/>
                <w:szCs w:val="18"/>
              </w:rPr>
              <w:t>. But the facts of this case demonstrate that we cannot presume the existence of undisputed facts based solely on anticipated compliance with a regulatory rule.</w:t>
            </w:r>
          </w:p>
          <w:p w14:paraId="7645EB0D" w14:textId="77777777" w:rsidR="00793DC4" w:rsidRDefault="00793DC4">
            <w:pPr>
              <w:widowControl w:val="0"/>
              <w:autoSpaceDE w:val="0"/>
              <w:autoSpaceDN w:val="0"/>
              <w:adjustRightInd w:val="0"/>
              <w:ind w:left="180"/>
              <w:jc w:val="both"/>
              <w:rPr>
                <w:color w:val="000000"/>
                <w:sz w:val="18"/>
                <w:szCs w:val="18"/>
              </w:rPr>
            </w:pPr>
          </w:p>
        </w:tc>
      </w:tr>
    </w:tbl>
    <w:p w14:paraId="76E36EF2" w14:textId="77777777" w:rsidR="00793DC4" w:rsidRDefault="00793DC4">
      <w:pPr>
        <w:widowControl w:val="0"/>
        <w:autoSpaceDE w:val="0"/>
        <w:autoSpaceDN w:val="0"/>
        <w:adjustRightInd w:val="0"/>
        <w:jc w:val="both"/>
        <w:rPr>
          <w:color w:val="000000"/>
        </w:rPr>
      </w:pPr>
    </w:p>
    <w:p w14:paraId="0E2420F2" w14:textId="77777777" w:rsidR="00793DC4" w:rsidRDefault="00793DC4">
      <w:pPr>
        <w:widowControl w:val="0"/>
        <w:autoSpaceDE w:val="0"/>
        <w:autoSpaceDN w:val="0"/>
        <w:adjustRightInd w:val="0"/>
        <w:jc w:val="both"/>
        <w:rPr>
          <w:color w:val="000000"/>
        </w:rPr>
      </w:pPr>
      <w:r>
        <w:rPr>
          <w:color w:val="000000"/>
        </w:rPr>
        <w:t xml:space="preserve">Accordingly, we do not see any convincing prudential reasons to commit the </w:t>
      </w:r>
      <w:hyperlink r:id="rId382" w:history="1">
        <w:r>
          <w:rPr>
            <w:i/>
            <w:iCs/>
            <w:color w:val="000000"/>
          </w:rPr>
          <w:t>Wyeth</w:t>
        </w:r>
      </w:hyperlink>
      <w:r>
        <w:rPr>
          <w:color w:val="000000"/>
        </w:rPr>
        <w:t xml:space="preserve"> inquiry to a court rather than a jury. The basic question that </w:t>
      </w:r>
      <w:hyperlink r:id="rId383" w:history="1">
        <w:r>
          <w:rPr>
            <w:i/>
            <w:iCs/>
            <w:color w:val="000000"/>
          </w:rPr>
          <w:t>Wyeth</w:t>
        </w:r>
      </w:hyperlink>
      <w:r>
        <w:rPr>
          <w:color w:val="000000"/>
        </w:rPr>
        <w:t xml:space="preserve"> poses to a </w:t>
      </w:r>
      <w:proofErr w:type="spellStart"/>
      <w:r>
        <w:rPr>
          <w:color w:val="000000"/>
        </w:rPr>
        <w:t>factfinder</w:t>
      </w:r>
      <w:proofErr w:type="spellEnd"/>
      <w:r>
        <w:rPr>
          <w:color w:val="000000"/>
        </w:rPr>
        <w:t>—in a counterfactual setting, what do you think the FDA would have done</w:t>
      </w:r>
      <w:proofErr w:type="gramStart"/>
      <w:r>
        <w:rPr>
          <w:color w:val="000000"/>
        </w:rPr>
        <w:t>?—</w:t>
      </w:r>
      <w:proofErr w:type="gramEnd"/>
      <w:r>
        <w:rPr>
          <w:color w:val="000000"/>
        </w:rPr>
        <w:t xml:space="preserve">requires an evaluative inference about human behavior based on correspondence, agency statements, contemporaneous medical literature, the requirements of the CBE regulation, and whatever intuitions the </w:t>
      </w:r>
      <w:proofErr w:type="spellStart"/>
      <w:r>
        <w:rPr>
          <w:color w:val="000000"/>
        </w:rPr>
        <w:t>factfinder</w:t>
      </w:r>
      <w:proofErr w:type="spellEnd"/>
      <w:r>
        <w:rPr>
          <w:color w:val="000000"/>
        </w:rPr>
        <w:t xml:space="preserve"> may have about administrative inertia and agency decision-making processes. This assessment is certainly complex, but it does not require any special legal competence or training.</w:t>
      </w:r>
    </w:p>
    <w:p w14:paraId="1B108E1A" w14:textId="77777777" w:rsidR="00793DC4" w:rsidRDefault="00793DC4">
      <w:pPr>
        <w:widowControl w:val="0"/>
        <w:autoSpaceDE w:val="0"/>
        <w:autoSpaceDN w:val="0"/>
        <w:adjustRightInd w:val="0"/>
        <w:jc w:val="both"/>
        <w:rPr>
          <w:color w:val="000000"/>
        </w:rPr>
      </w:pPr>
      <w:r>
        <w:rPr>
          <w:color w:val="000000"/>
        </w:rPr>
        <w:t> </w:t>
      </w:r>
    </w:p>
    <w:p w14:paraId="65283909" w14:textId="77777777" w:rsidR="00793DC4" w:rsidRDefault="00793DC4">
      <w:pPr>
        <w:widowControl w:val="0"/>
        <w:autoSpaceDE w:val="0"/>
        <w:autoSpaceDN w:val="0"/>
        <w:adjustRightInd w:val="0"/>
        <w:jc w:val="both"/>
        <w:rPr>
          <w:color w:val="000000"/>
        </w:rPr>
      </w:pPr>
      <w:r>
        <w:rPr>
          <w:color w:val="000000"/>
        </w:rPr>
        <w:t>We therefore conclude that the question of whether the FDA would have approved a plaintiff’s proposed warning is a question of fact for the jury. A state-law failure-to-warn claim will only be preempted if a jury concludes it is highly probable that the FDA would not have approved a label change.</w:t>
      </w:r>
    </w:p>
    <w:p w14:paraId="5320F3F2" w14:textId="77777777" w:rsidR="00793DC4" w:rsidRDefault="00793DC4">
      <w:pPr>
        <w:widowControl w:val="0"/>
        <w:autoSpaceDE w:val="0"/>
        <w:autoSpaceDN w:val="0"/>
        <w:adjustRightInd w:val="0"/>
        <w:jc w:val="both"/>
        <w:rPr>
          <w:color w:val="000000"/>
        </w:rPr>
      </w:pPr>
      <w:r>
        <w:rPr>
          <w:color w:val="000000"/>
        </w:rPr>
        <w:t> </w:t>
      </w:r>
    </w:p>
    <w:p w14:paraId="323B7769" w14:textId="77777777" w:rsidR="00793DC4" w:rsidRDefault="00793DC4">
      <w:pPr>
        <w:widowControl w:val="0"/>
        <w:autoSpaceDE w:val="0"/>
        <w:autoSpaceDN w:val="0"/>
        <w:adjustRightInd w:val="0"/>
        <w:jc w:val="both"/>
        <w:rPr>
          <w:color w:val="000000"/>
        </w:rPr>
      </w:pPr>
      <w:r>
        <w:rPr>
          <w:color w:val="000000"/>
        </w:rPr>
        <w:t xml:space="preserve">This decision would change how the preemption defense is presented and utilized in only a subset of cases. As before, drug manufacturers are free to raise a preemption defense, and either party may move for summary judgment on this issue after discovery. Upon summary judgment, district courts will compare the evidence presented with the evidence in </w:t>
      </w:r>
      <w:hyperlink r:id="rId384" w:history="1">
        <w:r>
          <w:rPr>
            <w:i/>
            <w:iCs/>
            <w:color w:val="000000"/>
          </w:rPr>
          <w:t>Wyeth</w:t>
        </w:r>
      </w:hyperlink>
      <w:r>
        <w:rPr>
          <w:color w:val="000000"/>
        </w:rPr>
        <w:t xml:space="preserve">, to determine whether it is more or less compelling. This is in effect what the other </w:t>
      </w:r>
      <w:r>
        <w:rPr>
          <w:b/>
          <w:bCs/>
          <w:color w:val="000000"/>
        </w:rPr>
        <w:t>*294</w:t>
      </w:r>
      <w:r>
        <w:rPr>
          <w:color w:val="000000"/>
        </w:rPr>
        <w:t xml:space="preserve"> circuits have done. A trial by jury would only be necessary in those cases where the evidence presented is more compelling than that in </w:t>
      </w:r>
      <w:hyperlink r:id="rId385" w:history="1">
        <w:r>
          <w:rPr>
            <w:i/>
            <w:iCs/>
            <w:color w:val="000000"/>
          </w:rPr>
          <w:t>Wyeth</w:t>
        </w:r>
      </w:hyperlink>
      <w:r>
        <w:rPr>
          <w:color w:val="000000"/>
        </w:rPr>
        <w:t xml:space="preserve"> but no “smoking gun” rejection letter from the FDA is available. And this need not be at a great expense to either the litigants or the taxpayers. A combined trial may be conducted on both the liability and the defense—similar to patent infringement cases where the plaintiffs present their infringement case at the same time as the defendants present their patent invalidity defense—particularly because the evidence presented will likely overlap. In sum, today’s holding will not drastically change how defendants will litigate the preemption defense.</w:t>
      </w:r>
    </w:p>
    <w:p w14:paraId="2E60D196" w14:textId="77777777" w:rsidR="00793DC4" w:rsidRDefault="00793DC4">
      <w:pPr>
        <w:widowControl w:val="0"/>
        <w:autoSpaceDE w:val="0"/>
        <w:autoSpaceDN w:val="0"/>
        <w:adjustRightInd w:val="0"/>
        <w:jc w:val="both"/>
        <w:rPr>
          <w:color w:val="000000"/>
        </w:rPr>
      </w:pPr>
      <w:r>
        <w:rPr>
          <w:color w:val="000000"/>
        </w:rPr>
        <w:t> </w:t>
      </w:r>
    </w:p>
    <w:p w14:paraId="5355242F" w14:textId="77777777" w:rsidR="00793DC4" w:rsidRDefault="00793DC4">
      <w:pPr>
        <w:widowControl w:val="0"/>
        <w:autoSpaceDE w:val="0"/>
        <w:autoSpaceDN w:val="0"/>
        <w:adjustRightInd w:val="0"/>
        <w:spacing w:before="200"/>
        <w:rPr>
          <w:b/>
          <w:bCs/>
          <w:color w:val="000000"/>
        </w:rPr>
      </w:pPr>
      <w:r>
        <w:rPr>
          <w:b/>
          <w:bCs/>
          <w:color w:val="000000"/>
        </w:rPr>
        <w:t>III. ANALYSIS</w:t>
      </w:r>
    </w:p>
    <w:p w14:paraId="0459FDDD" w14:textId="77777777" w:rsidR="00793DC4" w:rsidRDefault="00793DC4">
      <w:pPr>
        <w:widowControl w:val="0"/>
        <w:autoSpaceDE w:val="0"/>
        <w:autoSpaceDN w:val="0"/>
        <w:adjustRightInd w:val="0"/>
        <w:jc w:val="both"/>
        <w:rPr>
          <w:color w:val="000000"/>
          <w:sz w:val="16"/>
          <w:szCs w:val="16"/>
        </w:rPr>
      </w:pPr>
      <w:r>
        <w:rPr>
          <w:color w:val="000000"/>
        </w:rPr>
        <w:t>Having clarified the “clear evidence” standard, we now turn to the merits of Merck’s preemption defense.</w:t>
      </w:r>
      <w:bookmarkStart w:id="272" w:name="co_footnoteReference_B01372041287330_ID0"/>
      <w:bookmarkEnd w:id="272"/>
      <w:r>
        <w:rPr>
          <w:color w:val="000000"/>
          <w:sz w:val="16"/>
          <w:szCs w:val="16"/>
        </w:rPr>
        <w:fldChar w:fldCharType="begin"/>
      </w:r>
      <w:r>
        <w:rPr>
          <w:color w:val="000000"/>
          <w:sz w:val="16"/>
          <w:szCs w:val="16"/>
        </w:rPr>
        <w:instrText xml:space="preserve">HYPERLINK "#co_footnote_B01372041287330_1" </w:instrText>
      </w:r>
      <w:r w:rsidR="00F61700">
        <w:rPr>
          <w:color w:val="000000"/>
          <w:sz w:val="16"/>
          <w:szCs w:val="16"/>
        </w:rPr>
      </w:r>
      <w:r>
        <w:rPr>
          <w:color w:val="000000"/>
          <w:sz w:val="16"/>
          <w:szCs w:val="16"/>
        </w:rPr>
        <w:fldChar w:fldCharType="separate"/>
      </w:r>
      <w:r>
        <w:rPr>
          <w:color w:val="000000"/>
          <w:sz w:val="16"/>
          <w:szCs w:val="16"/>
          <w:vertAlign w:val="superscript"/>
        </w:rPr>
        <w:t>136</w:t>
      </w:r>
      <w:r>
        <w:rPr>
          <w:color w:val="000000"/>
          <w:sz w:val="16"/>
          <w:szCs w:val="16"/>
        </w:rPr>
        <w:fldChar w:fldCharType="end"/>
      </w:r>
    </w:p>
    <w:p w14:paraId="0B6CB226"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37C6014B" w14:textId="77777777">
        <w:tblPrEx>
          <w:tblCellMar>
            <w:top w:w="0" w:type="dxa"/>
            <w:left w:w="0" w:type="dxa"/>
            <w:bottom w:w="0" w:type="dxa"/>
            <w:right w:w="0" w:type="dxa"/>
          </w:tblCellMar>
        </w:tblPrEx>
        <w:tc>
          <w:tcPr>
            <w:tcW w:w="600" w:type="dxa"/>
            <w:tcBorders>
              <w:top w:val="nil"/>
              <w:left w:val="nil"/>
              <w:bottom w:val="nil"/>
              <w:right w:val="nil"/>
            </w:tcBorders>
          </w:tcPr>
          <w:bookmarkStart w:id="273" w:name="co_footnote_B01372041287330_1"/>
          <w:bookmarkEnd w:id="273"/>
          <w:p w14:paraId="63FB0B62"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"#co_footnoteReference_B01372041287330_ID0" </w:instrText>
            </w:r>
            <w:r w:rsidR="00F61700">
              <w:rPr>
                <w:color w:val="000000"/>
              </w:rPr>
            </w:r>
            <w:r>
              <w:rPr>
                <w:color w:val="000000"/>
              </w:rPr>
              <w:fldChar w:fldCharType="separate"/>
            </w:r>
            <w:r>
              <w:rPr>
                <w:color w:val="000000"/>
                <w:vertAlign w:val="superscript"/>
              </w:rPr>
              <w:t>136</w:t>
            </w:r>
            <w:r>
              <w:rPr>
                <w:color w:val="000000"/>
              </w:rPr>
              <w:fldChar w:fldCharType="end"/>
            </w:r>
          </w:p>
          <w:p w14:paraId="30F0958E"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18A63218" w14:textId="77777777" w:rsidR="00793DC4" w:rsidRDefault="00793DC4">
            <w:pPr>
              <w:widowControl w:val="0"/>
              <w:autoSpaceDE w:val="0"/>
              <w:autoSpaceDN w:val="0"/>
              <w:adjustRightInd w:val="0"/>
              <w:jc w:val="both"/>
              <w:rPr>
                <w:color w:val="000000"/>
                <w:sz w:val="18"/>
                <w:szCs w:val="18"/>
              </w:rPr>
            </w:pPr>
            <w:r>
              <w:rPr>
                <w:color w:val="000000"/>
                <w:sz w:val="18"/>
                <w:szCs w:val="18"/>
              </w:rPr>
              <w:t xml:space="preserve">The District Court had subject matter jurisdiction under </w:t>
            </w:r>
            <w:hyperlink r:id="rId386" w:history="1">
              <w:r>
                <w:rPr>
                  <w:color w:val="000000"/>
                  <w:sz w:val="18"/>
                  <w:szCs w:val="18"/>
                </w:rPr>
                <w:t>28 U.S.C. § 1332</w:t>
              </w:r>
            </w:hyperlink>
            <w:r>
              <w:rPr>
                <w:color w:val="000000"/>
                <w:sz w:val="18"/>
                <w:szCs w:val="18"/>
              </w:rPr>
              <w:t xml:space="preserve">. We have jurisdiction under </w:t>
            </w:r>
            <w:hyperlink r:id="rId387" w:history="1">
              <w:r>
                <w:rPr>
                  <w:color w:val="000000"/>
                  <w:sz w:val="18"/>
                  <w:szCs w:val="18"/>
                </w:rPr>
                <w:t>28 U.S.C. § 1291</w:t>
              </w:r>
            </w:hyperlink>
            <w:r>
              <w:rPr>
                <w:color w:val="000000"/>
                <w:sz w:val="18"/>
                <w:szCs w:val="18"/>
              </w:rPr>
              <w:t>.</w:t>
            </w:r>
          </w:p>
          <w:p w14:paraId="3ADC7D77" w14:textId="77777777" w:rsidR="00793DC4" w:rsidRDefault="00793DC4">
            <w:pPr>
              <w:widowControl w:val="0"/>
              <w:autoSpaceDE w:val="0"/>
              <w:autoSpaceDN w:val="0"/>
              <w:adjustRightInd w:val="0"/>
              <w:jc w:val="both"/>
              <w:rPr>
                <w:color w:val="000000"/>
                <w:sz w:val="18"/>
                <w:szCs w:val="18"/>
              </w:rPr>
            </w:pPr>
          </w:p>
        </w:tc>
      </w:tr>
    </w:tbl>
    <w:p w14:paraId="422C6387" w14:textId="77777777" w:rsidR="00793DC4" w:rsidRDefault="00793DC4">
      <w:pPr>
        <w:widowControl w:val="0"/>
        <w:autoSpaceDE w:val="0"/>
        <w:autoSpaceDN w:val="0"/>
        <w:adjustRightInd w:val="0"/>
        <w:jc w:val="both"/>
        <w:rPr>
          <w:color w:val="000000"/>
        </w:rPr>
      </w:pPr>
    </w:p>
    <w:p w14:paraId="3BF2FE3F" w14:textId="77777777" w:rsidR="00793DC4" w:rsidRDefault="00793DC4">
      <w:pPr>
        <w:widowControl w:val="0"/>
        <w:autoSpaceDE w:val="0"/>
        <w:autoSpaceDN w:val="0"/>
        <w:adjustRightInd w:val="0"/>
        <w:jc w:val="both"/>
        <w:rPr>
          <w:color w:val="000000"/>
        </w:rPr>
      </w:pPr>
      <w:r>
        <w:rPr>
          <w:color w:val="000000"/>
        </w:rPr>
        <w:t xml:space="preserve">Plaintiffs’ causes of action fall into three groups. The first group comprises Plaintiffs’ claims that Merck failed to warn </w:t>
      </w:r>
      <w:hyperlink r:id="rId388" w:history="1">
        <w:r>
          <w:rPr>
            <w:color w:val="000000"/>
          </w:rPr>
          <w:t>Fosamax</w:t>
        </w:r>
      </w:hyperlink>
      <w:r>
        <w:rPr>
          <w:color w:val="000000"/>
        </w:rPr>
        <w:t xml:space="preserve"> users of the risk of atypical femur fractures by failing to add a warning to the Warnings and Precautions section of the label before September 2010 (the “Warnings and Precautions Claims”). The second group comprises Plaintiffs’ claims that Merck failed to warn </w:t>
      </w:r>
      <w:hyperlink r:id="rId389" w:history="1">
        <w:r>
          <w:rPr>
            <w:color w:val="000000"/>
          </w:rPr>
          <w:t>Fosamax</w:t>
        </w:r>
      </w:hyperlink>
      <w:r>
        <w:rPr>
          <w:color w:val="000000"/>
        </w:rPr>
        <w:t xml:space="preserve"> users of the risk of femur fractures by failing to add atypical femur fractures to the Adverse Reactions section of the label prior to May 2009 (the “Adverse Reactions Claims”). The third group comprises all of Plaintiffs’ non-failure-to-warn claims, including design defect, negligence, breach of implied and express warranties, and violations of state consumer fraud and trade practice statutes (the “Non-Warning Claims”). The District Court ruled that the Warnings and Precautions claims were preempted under </w:t>
      </w:r>
      <w:hyperlink r:id="rId390" w:history="1">
        <w:r>
          <w:rPr>
            <w:i/>
            <w:iCs/>
            <w:color w:val="000000"/>
          </w:rPr>
          <w:t>Wyeth</w:t>
        </w:r>
      </w:hyperlink>
      <w:r>
        <w:rPr>
          <w:color w:val="000000"/>
        </w:rPr>
        <w:t>; that the Adverse Reactions claims failed on the merits; and that the Non-Warning Claims were functionally indistinguishable from the Warnings and Precautions Claims and therefore preempted to the same extent.</w:t>
      </w:r>
    </w:p>
    <w:p w14:paraId="7410864F" w14:textId="77777777" w:rsidR="00793DC4" w:rsidRDefault="00793DC4">
      <w:pPr>
        <w:widowControl w:val="0"/>
        <w:autoSpaceDE w:val="0"/>
        <w:autoSpaceDN w:val="0"/>
        <w:adjustRightInd w:val="0"/>
        <w:jc w:val="both"/>
        <w:rPr>
          <w:color w:val="000000"/>
        </w:rPr>
      </w:pPr>
      <w:r>
        <w:rPr>
          <w:color w:val="000000"/>
        </w:rPr>
        <w:t> </w:t>
      </w:r>
    </w:p>
    <w:p w14:paraId="38FD7338" w14:textId="77777777" w:rsidR="00793DC4" w:rsidRDefault="00793DC4">
      <w:pPr>
        <w:widowControl w:val="0"/>
        <w:autoSpaceDE w:val="0"/>
        <w:autoSpaceDN w:val="0"/>
        <w:adjustRightInd w:val="0"/>
        <w:jc w:val="both"/>
        <w:rPr>
          <w:color w:val="000000"/>
        </w:rPr>
      </w:pPr>
      <w:r>
        <w:rPr>
          <w:color w:val="000000"/>
        </w:rPr>
        <w:t xml:space="preserve">Plaintiffs present four arguments on appeal. </w:t>
      </w:r>
      <w:r>
        <w:rPr>
          <w:b/>
          <w:bCs/>
          <w:i/>
          <w:iCs/>
          <w:color w:val="000000"/>
        </w:rPr>
        <w:t>First</w:t>
      </w:r>
      <w:r>
        <w:rPr>
          <w:color w:val="000000"/>
        </w:rPr>
        <w:t xml:space="preserve">, Plaintiffs argue that the Warnings and Precautions Claims are not preempted as a matter of law because a reasonable jury could conclude that the FDA would have approved a properly worded atypical-fractures warning. </w:t>
      </w:r>
      <w:r>
        <w:rPr>
          <w:b/>
          <w:bCs/>
          <w:i/>
          <w:iCs/>
          <w:color w:val="000000"/>
        </w:rPr>
        <w:t>Second</w:t>
      </w:r>
      <w:r>
        <w:rPr>
          <w:color w:val="000000"/>
        </w:rPr>
        <w:t xml:space="preserve">, Plaintiffs argue that Merck is not entitled to summary judgment on Plaintiffs’ Adverse Reactions Claims because those claims were properly pleaded and there is sufficient evidence for a reasonable jury to find for the Plaintiffs. </w:t>
      </w:r>
      <w:r>
        <w:rPr>
          <w:b/>
          <w:bCs/>
          <w:i/>
          <w:iCs/>
          <w:color w:val="000000"/>
        </w:rPr>
        <w:t>Third</w:t>
      </w:r>
      <w:r>
        <w:rPr>
          <w:color w:val="000000"/>
        </w:rPr>
        <w:t xml:space="preserve">, Plaintiffs argue that even if both sets of failure-to-warn claims are preempted, Plaintiffs’ remaining claims are not preempted because they do not “sound in failure to warn” and are supported by competent evidence. </w:t>
      </w:r>
      <w:r>
        <w:rPr>
          <w:b/>
          <w:bCs/>
          <w:i/>
          <w:iCs/>
          <w:color w:val="000000"/>
        </w:rPr>
        <w:t>Fourth</w:t>
      </w:r>
      <w:r>
        <w:rPr>
          <w:color w:val="000000"/>
        </w:rPr>
        <w:t xml:space="preserve">, Plaintiffs claim that the District Court misapplied </w:t>
      </w:r>
      <w:hyperlink r:id="rId391" w:history="1">
        <w:r>
          <w:rPr>
            <w:color w:val="000000"/>
          </w:rPr>
          <w:t>Rule 56</w:t>
        </w:r>
      </w:hyperlink>
      <w:r>
        <w:rPr>
          <w:color w:val="000000"/>
        </w:rPr>
        <w:t xml:space="preserve"> when it tried to resolve Merck’s affirmative preemption defense via a show-cause proceeding.</w:t>
      </w:r>
    </w:p>
    <w:p w14:paraId="6E3A022F" w14:textId="77777777" w:rsidR="00793DC4" w:rsidRDefault="00793DC4">
      <w:pPr>
        <w:widowControl w:val="0"/>
        <w:autoSpaceDE w:val="0"/>
        <w:autoSpaceDN w:val="0"/>
        <w:adjustRightInd w:val="0"/>
        <w:jc w:val="both"/>
        <w:rPr>
          <w:color w:val="000000"/>
        </w:rPr>
      </w:pPr>
      <w:r>
        <w:rPr>
          <w:color w:val="000000"/>
        </w:rPr>
        <w:t> </w:t>
      </w:r>
    </w:p>
    <w:p w14:paraId="4272B2EB" w14:textId="77777777" w:rsidR="00793DC4" w:rsidRDefault="00793DC4">
      <w:pPr>
        <w:widowControl w:val="0"/>
        <w:autoSpaceDE w:val="0"/>
        <w:autoSpaceDN w:val="0"/>
        <w:adjustRightInd w:val="0"/>
        <w:jc w:val="both"/>
        <w:rPr>
          <w:color w:val="000000"/>
        </w:rPr>
      </w:pPr>
      <w:r>
        <w:rPr>
          <w:color w:val="000000"/>
        </w:rPr>
        <w:t xml:space="preserve">For the reasons set forth below, we conclude that (1) the Warnings and Precautions claims are not preempted as a matter of law because a reasonable jury could find it less than highly probable that the FDA would have rejected Plaintiffs’ proposed warning; (2) Merck is not entitled to summary judgment on the Adverse Reactions claims; and (3) the Non-Warning Claims are not preempted as a matter of law. Because we are vacating the District Court’s summary judgment order, we do </w:t>
      </w:r>
      <w:r>
        <w:rPr>
          <w:b/>
          <w:bCs/>
          <w:color w:val="000000"/>
        </w:rPr>
        <w:t>*295</w:t>
      </w:r>
      <w:r>
        <w:rPr>
          <w:color w:val="000000"/>
        </w:rPr>
        <w:t xml:space="preserve"> not reach the propriety of the show-cause order.</w:t>
      </w:r>
    </w:p>
    <w:p w14:paraId="4546C64D" w14:textId="77777777" w:rsidR="00793DC4" w:rsidRDefault="00793DC4">
      <w:pPr>
        <w:widowControl w:val="0"/>
        <w:autoSpaceDE w:val="0"/>
        <w:autoSpaceDN w:val="0"/>
        <w:adjustRightInd w:val="0"/>
        <w:jc w:val="both"/>
        <w:rPr>
          <w:color w:val="000000"/>
        </w:rPr>
      </w:pPr>
      <w:r>
        <w:rPr>
          <w:color w:val="000000"/>
        </w:rPr>
        <w:t> </w:t>
      </w:r>
    </w:p>
    <w:p w14:paraId="47324526" w14:textId="77777777" w:rsidR="00793DC4" w:rsidRDefault="00793DC4">
      <w:pPr>
        <w:widowControl w:val="0"/>
        <w:autoSpaceDE w:val="0"/>
        <w:autoSpaceDN w:val="0"/>
        <w:adjustRightInd w:val="0"/>
        <w:spacing w:before="400" w:after="200"/>
        <w:jc w:val="center"/>
        <w:rPr>
          <w:b/>
          <w:bCs/>
          <w:color w:val="000000"/>
        </w:rPr>
      </w:pPr>
      <w:r>
        <w:rPr>
          <w:b/>
          <w:bCs/>
          <w:color w:val="000000"/>
        </w:rPr>
        <w:t>A. Summary Judgment Standard</w:t>
      </w:r>
    </w:p>
    <w:p w14:paraId="6E93A017" w14:textId="77777777" w:rsidR="00793DC4" w:rsidRDefault="00793DC4">
      <w:pPr>
        <w:widowControl w:val="0"/>
        <w:autoSpaceDE w:val="0"/>
        <w:autoSpaceDN w:val="0"/>
        <w:adjustRightInd w:val="0"/>
        <w:jc w:val="both"/>
        <w:rPr>
          <w:color w:val="000000"/>
          <w:sz w:val="16"/>
          <w:szCs w:val="16"/>
        </w:rPr>
      </w:pPr>
      <w:hyperlink r:id="rId392" w:history="1">
        <w:r>
          <w:rPr>
            <w:b/>
            <w:bCs/>
            <w:color w:val="000000"/>
            <w:vertAlign w:val="superscript"/>
          </w:rPr>
          <w:t>[9]</w:t>
        </w:r>
      </w:hyperlink>
      <w:r>
        <w:rPr>
          <w:color w:val="000000"/>
        </w:rPr>
        <w:t xml:space="preserve"> </w:t>
      </w:r>
      <w:hyperlink r:id="rId393" w:history="1">
        <w:r>
          <w:rPr>
            <w:b/>
            <w:bCs/>
            <w:color w:val="000000"/>
            <w:vertAlign w:val="superscript"/>
          </w:rPr>
          <w:t>[10]</w:t>
        </w:r>
      </w:hyperlink>
      <w:r>
        <w:rPr>
          <w:color w:val="000000"/>
        </w:rPr>
        <w:t xml:space="preserve"> </w:t>
      </w:r>
      <w:hyperlink r:id="rId394" w:history="1">
        <w:r>
          <w:rPr>
            <w:b/>
            <w:bCs/>
            <w:color w:val="000000"/>
            <w:vertAlign w:val="superscript"/>
          </w:rPr>
          <w:t>[11]</w:t>
        </w:r>
      </w:hyperlink>
      <w:r>
        <w:rPr>
          <w:color w:val="000000"/>
        </w:rPr>
        <w:t xml:space="preserve"> </w:t>
      </w:r>
      <w:hyperlink r:id="rId395" w:history="1">
        <w:r>
          <w:rPr>
            <w:b/>
            <w:bCs/>
            <w:color w:val="000000"/>
            <w:vertAlign w:val="superscript"/>
          </w:rPr>
          <w:t>[12]</w:t>
        </w:r>
      </w:hyperlink>
      <w:r>
        <w:rPr>
          <w:color w:val="000000"/>
        </w:rPr>
        <w:t>Our review of a District Court’s grant of summary judgment is plenary,</w:t>
      </w:r>
      <w:bookmarkStart w:id="274" w:name="co_footnoteReference_B01382041287330_ID0"/>
      <w:bookmarkEnd w:id="274"/>
      <w:r>
        <w:rPr>
          <w:color w:val="000000"/>
          <w:sz w:val="16"/>
          <w:szCs w:val="16"/>
        </w:rPr>
        <w:fldChar w:fldCharType="begin"/>
      </w:r>
      <w:r>
        <w:rPr>
          <w:color w:val="000000"/>
          <w:sz w:val="16"/>
          <w:szCs w:val="16"/>
        </w:rPr>
        <w:instrText xml:space="preserve">HYPERLINK "#co_footnote_B01382041287330_1" </w:instrText>
      </w:r>
      <w:r w:rsidR="00F61700">
        <w:rPr>
          <w:color w:val="000000"/>
          <w:sz w:val="16"/>
          <w:szCs w:val="16"/>
        </w:rPr>
      </w:r>
      <w:r>
        <w:rPr>
          <w:color w:val="000000"/>
          <w:sz w:val="16"/>
          <w:szCs w:val="16"/>
        </w:rPr>
        <w:fldChar w:fldCharType="separate"/>
      </w:r>
      <w:r>
        <w:rPr>
          <w:color w:val="000000"/>
          <w:sz w:val="16"/>
          <w:szCs w:val="16"/>
          <w:vertAlign w:val="superscript"/>
        </w:rPr>
        <w:t>137</w:t>
      </w:r>
      <w:r>
        <w:rPr>
          <w:color w:val="000000"/>
          <w:sz w:val="16"/>
          <w:szCs w:val="16"/>
        </w:rPr>
        <w:fldChar w:fldCharType="end"/>
      </w:r>
      <w:r>
        <w:rPr>
          <w:color w:val="000000"/>
        </w:rPr>
        <w:t xml:space="preserve"> and we affirm only if “there is no genuine dispute as to any material fact and the movant is entitled to judgment as a matter of law.”</w:t>
      </w:r>
      <w:bookmarkStart w:id="275" w:name="co_footnoteReference_B01392041287330_ID0"/>
      <w:bookmarkEnd w:id="275"/>
      <w:r>
        <w:rPr>
          <w:color w:val="000000"/>
          <w:sz w:val="16"/>
          <w:szCs w:val="16"/>
        </w:rPr>
        <w:fldChar w:fldCharType="begin"/>
      </w:r>
      <w:r>
        <w:rPr>
          <w:color w:val="000000"/>
          <w:sz w:val="16"/>
          <w:szCs w:val="16"/>
        </w:rPr>
        <w:instrText xml:space="preserve">HYPERLINK "#co_footnote_B01392041287330_1" </w:instrText>
      </w:r>
      <w:r w:rsidR="00F61700">
        <w:rPr>
          <w:color w:val="000000"/>
          <w:sz w:val="16"/>
          <w:szCs w:val="16"/>
        </w:rPr>
      </w:r>
      <w:r>
        <w:rPr>
          <w:color w:val="000000"/>
          <w:sz w:val="16"/>
          <w:szCs w:val="16"/>
        </w:rPr>
        <w:fldChar w:fldCharType="separate"/>
      </w:r>
      <w:r>
        <w:rPr>
          <w:color w:val="000000"/>
          <w:sz w:val="16"/>
          <w:szCs w:val="16"/>
          <w:vertAlign w:val="superscript"/>
        </w:rPr>
        <w:t>138</w:t>
      </w:r>
      <w:r>
        <w:rPr>
          <w:color w:val="000000"/>
          <w:sz w:val="16"/>
          <w:szCs w:val="16"/>
        </w:rPr>
        <w:fldChar w:fldCharType="end"/>
      </w:r>
      <w:r>
        <w:rPr>
          <w:color w:val="000000"/>
        </w:rPr>
        <w:t xml:space="preserve"> Because Merck moved for summary judgment, we must draw all reasonable inferences in the Plaintiffs’ favor when considering the evidence.</w:t>
      </w:r>
      <w:bookmarkStart w:id="276" w:name="co_footnoteReference_B01402041287330_ID0"/>
      <w:bookmarkEnd w:id="276"/>
      <w:r>
        <w:rPr>
          <w:color w:val="000000"/>
          <w:sz w:val="16"/>
          <w:szCs w:val="16"/>
        </w:rPr>
        <w:fldChar w:fldCharType="begin"/>
      </w:r>
      <w:r>
        <w:rPr>
          <w:color w:val="000000"/>
          <w:sz w:val="16"/>
          <w:szCs w:val="16"/>
        </w:rPr>
        <w:instrText xml:space="preserve">HYPERLINK "#co_footnote_B01402041287330_1" </w:instrText>
      </w:r>
      <w:r w:rsidR="00F61700">
        <w:rPr>
          <w:color w:val="000000"/>
          <w:sz w:val="16"/>
          <w:szCs w:val="16"/>
        </w:rPr>
      </w:r>
      <w:r>
        <w:rPr>
          <w:color w:val="000000"/>
          <w:sz w:val="16"/>
          <w:szCs w:val="16"/>
        </w:rPr>
        <w:fldChar w:fldCharType="separate"/>
      </w:r>
      <w:r>
        <w:rPr>
          <w:color w:val="000000"/>
          <w:sz w:val="16"/>
          <w:szCs w:val="16"/>
          <w:vertAlign w:val="superscript"/>
        </w:rPr>
        <w:t>139</w:t>
      </w:r>
      <w:r>
        <w:rPr>
          <w:color w:val="000000"/>
          <w:sz w:val="16"/>
          <w:szCs w:val="16"/>
        </w:rPr>
        <w:fldChar w:fldCharType="end"/>
      </w:r>
      <w:r>
        <w:rPr>
          <w:color w:val="000000"/>
        </w:rPr>
        <w:t xml:space="preserve"> Our inquiry is confined to “whether the evidence of record is such that a reasonable jury could return a verdict for the nonmoving party.”</w:t>
      </w:r>
      <w:bookmarkStart w:id="277" w:name="co_footnoteReference_B01412041287330_ID0"/>
      <w:bookmarkEnd w:id="277"/>
      <w:r>
        <w:rPr>
          <w:color w:val="000000"/>
          <w:sz w:val="16"/>
          <w:szCs w:val="16"/>
        </w:rPr>
        <w:fldChar w:fldCharType="begin"/>
      </w:r>
      <w:r>
        <w:rPr>
          <w:color w:val="000000"/>
          <w:sz w:val="16"/>
          <w:szCs w:val="16"/>
        </w:rPr>
        <w:instrText xml:space="preserve">HYPERLINK "#co_footnote_B01412041287330_1" </w:instrText>
      </w:r>
      <w:r w:rsidR="00F61700">
        <w:rPr>
          <w:color w:val="000000"/>
          <w:sz w:val="16"/>
          <w:szCs w:val="16"/>
        </w:rPr>
      </w:r>
      <w:r>
        <w:rPr>
          <w:color w:val="000000"/>
          <w:sz w:val="16"/>
          <w:szCs w:val="16"/>
        </w:rPr>
        <w:fldChar w:fldCharType="separate"/>
      </w:r>
      <w:r>
        <w:rPr>
          <w:color w:val="000000"/>
          <w:sz w:val="16"/>
          <w:szCs w:val="16"/>
          <w:vertAlign w:val="superscript"/>
        </w:rPr>
        <w:t>140</w:t>
      </w:r>
      <w:r>
        <w:rPr>
          <w:color w:val="000000"/>
          <w:sz w:val="16"/>
          <w:szCs w:val="16"/>
        </w:rPr>
        <w:fldChar w:fldCharType="end"/>
      </w:r>
      <w:r>
        <w:rPr>
          <w:color w:val="000000"/>
        </w:rPr>
        <w:t xml:space="preserve"> We therefore cannot grant summary judgment in Merck’s favor “unless a reasonable juror would be compelled to find its way on the facts needed to rule in its favor on the law.”</w:t>
      </w:r>
      <w:bookmarkStart w:id="278" w:name="co_footnoteReference_B01422041287330_ID0"/>
      <w:bookmarkEnd w:id="278"/>
      <w:r>
        <w:rPr>
          <w:color w:val="000000"/>
          <w:sz w:val="16"/>
          <w:szCs w:val="16"/>
        </w:rPr>
        <w:fldChar w:fldCharType="begin"/>
      </w:r>
      <w:r>
        <w:rPr>
          <w:color w:val="000000"/>
          <w:sz w:val="16"/>
          <w:szCs w:val="16"/>
        </w:rPr>
        <w:instrText xml:space="preserve">HYPERLINK "#co_footnote_B01422041287330_1" </w:instrText>
      </w:r>
      <w:r w:rsidR="00F61700">
        <w:rPr>
          <w:color w:val="000000"/>
          <w:sz w:val="16"/>
          <w:szCs w:val="16"/>
        </w:rPr>
      </w:r>
      <w:r>
        <w:rPr>
          <w:color w:val="000000"/>
          <w:sz w:val="16"/>
          <w:szCs w:val="16"/>
        </w:rPr>
        <w:fldChar w:fldCharType="separate"/>
      </w:r>
      <w:r>
        <w:rPr>
          <w:color w:val="000000"/>
          <w:sz w:val="16"/>
          <w:szCs w:val="16"/>
          <w:vertAlign w:val="superscript"/>
        </w:rPr>
        <w:t>141</w:t>
      </w:r>
      <w:r>
        <w:rPr>
          <w:color w:val="000000"/>
          <w:sz w:val="16"/>
          <w:szCs w:val="16"/>
        </w:rPr>
        <w:fldChar w:fldCharType="end"/>
      </w:r>
    </w:p>
    <w:p w14:paraId="307171AA"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62F6EB76" w14:textId="77777777">
        <w:tblPrEx>
          <w:tblCellMar>
            <w:top w:w="0" w:type="dxa"/>
            <w:left w:w="0" w:type="dxa"/>
            <w:bottom w:w="0" w:type="dxa"/>
            <w:right w:w="0" w:type="dxa"/>
          </w:tblCellMar>
        </w:tblPrEx>
        <w:tc>
          <w:tcPr>
            <w:tcW w:w="600" w:type="dxa"/>
            <w:tcBorders>
              <w:top w:val="nil"/>
              <w:left w:val="nil"/>
              <w:bottom w:val="nil"/>
              <w:right w:val="nil"/>
            </w:tcBorders>
          </w:tcPr>
          <w:bookmarkStart w:id="279" w:name="co_footnote_B01382041287330_1"/>
          <w:bookmarkEnd w:id="279"/>
          <w:p w14:paraId="0B226266"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"#co_footnoteReference_B01382041287330_ID0" </w:instrText>
            </w:r>
            <w:r w:rsidR="00F61700">
              <w:rPr>
                <w:color w:val="000000"/>
              </w:rPr>
            </w:r>
            <w:r>
              <w:rPr>
                <w:color w:val="000000"/>
              </w:rPr>
              <w:fldChar w:fldCharType="separate"/>
            </w:r>
            <w:r>
              <w:rPr>
                <w:color w:val="000000"/>
                <w:vertAlign w:val="superscript"/>
              </w:rPr>
              <w:t>137</w:t>
            </w:r>
            <w:r>
              <w:rPr>
                <w:color w:val="000000"/>
              </w:rPr>
              <w:fldChar w:fldCharType="end"/>
            </w:r>
          </w:p>
          <w:p w14:paraId="41259C26"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5AE44761" w14:textId="77777777" w:rsidR="00793DC4" w:rsidRDefault="00793DC4">
            <w:pPr>
              <w:widowControl w:val="0"/>
              <w:autoSpaceDE w:val="0"/>
              <w:autoSpaceDN w:val="0"/>
              <w:adjustRightInd w:val="0"/>
              <w:jc w:val="both"/>
              <w:rPr>
                <w:color w:val="000000"/>
                <w:sz w:val="18"/>
                <w:szCs w:val="18"/>
              </w:rPr>
            </w:pPr>
            <w:hyperlink r:id="rId396" w:history="1">
              <w:r>
                <w:rPr>
                  <w:i/>
                  <w:iCs/>
                  <w:color w:val="000000"/>
                  <w:sz w:val="18"/>
                  <w:szCs w:val="18"/>
                </w:rPr>
                <w:t xml:space="preserve">Reedy v. </w:t>
              </w:r>
              <w:proofErr w:type="spellStart"/>
              <w:r>
                <w:rPr>
                  <w:i/>
                  <w:iCs/>
                  <w:color w:val="000000"/>
                  <w:sz w:val="18"/>
                  <w:szCs w:val="18"/>
                </w:rPr>
                <w:t>Evanson</w:t>
              </w:r>
              <w:proofErr w:type="spellEnd"/>
              <w:r>
                <w:rPr>
                  <w:color w:val="000000"/>
                  <w:sz w:val="18"/>
                  <w:szCs w:val="18"/>
                </w:rPr>
                <w:t>, 615 F.3d 197, 210 (3d Cir. 2010)</w:t>
              </w:r>
            </w:hyperlink>
            <w:r>
              <w:rPr>
                <w:color w:val="000000"/>
                <w:sz w:val="18"/>
                <w:szCs w:val="18"/>
              </w:rPr>
              <w:t>.</w:t>
            </w:r>
          </w:p>
          <w:p w14:paraId="02932B75" w14:textId="77777777" w:rsidR="00793DC4" w:rsidRDefault="00793DC4">
            <w:pPr>
              <w:widowControl w:val="0"/>
              <w:autoSpaceDE w:val="0"/>
              <w:autoSpaceDN w:val="0"/>
              <w:adjustRightInd w:val="0"/>
              <w:jc w:val="both"/>
              <w:rPr>
                <w:color w:val="000000"/>
                <w:sz w:val="18"/>
                <w:szCs w:val="18"/>
              </w:rPr>
            </w:pPr>
          </w:p>
        </w:tc>
      </w:tr>
    </w:tbl>
    <w:p w14:paraId="35B40468"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68F8C304" w14:textId="77777777">
        <w:tblPrEx>
          <w:tblCellMar>
            <w:top w:w="0" w:type="dxa"/>
            <w:left w:w="0" w:type="dxa"/>
            <w:bottom w:w="0" w:type="dxa"/>
            <w:right w:w="0" w:type="dxa"/>
          </w:tblCellMar>
        </w:tblPrEx>
        <w:tc>
          <w:tcPr>
            <w:tcW w:w="600" w:type="dxa"/>
            <w:tcBorders>
              <w:top w:val="nil"/>
              <w:left w:val="nil"/>
              <w:bottom w:val="nil"/>
              <w:right w:val="nil"/>
            </w:tcBorders>
          </w:tcPr>
          <w:bookmarkStart w:id="280" w:name="co_footnote_B01392041287330_1"/>
          <w:bookmarkEnd w:id="280"/>
          <w:p w14:paraId="5619E1E5"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"#co_footnoteReference_B01392041287330_ID0" </w:instrText>
            </w:r>
            <w:r w:rsidR="00F61700">
              <w:rPr>
                <w:color w:val="000000"/>
              </w:rPr>
            </w:r>
            <w:r>
              <w:rPr>
                <w:color w:val="000000"/>
              </w:rPr>
              <w:fldChar w:fldCharType="separate"/>
            </w:r>
            <w:r>
              <w:rPr>
                <w:color w:val="000000"/>
                <w:vertAlign w:val="superscript"/>
              </w:rPr>
              <w:t>138</w:t>
            </w:r>
            <w:r>
              <w:rPr>
                <w:color w:val="000000"/>
              </w:rPr>
              <w:fldChar w:fldCharType="end"/>
            </w:r>
          </w:p>
          <w:p w14:paraId="39FBFF69"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1382243B" w14:textId="77777777" w:rsidR="00793DC4" w:rsidRDefault="00793DC4">
            <w:pPr>
              <w:widowControl w:val="0"/>
              <w:autoSpaceDE w:val="0"/>
              <w:autoSpaceDN w:val="0"/>
              <w:adjustRightInd w:val="0"/>
              <w:jc w:val="both"/>
              <w:rPr>
                <w:color w:val="000000"/>
                <w:sz w:val="18"/>
                <w:szCs w:val="18"/>
              </w:rPr>
            </w:pPr>
            <w:hyperlink r:id="rId397" w:history="1">
              <w:r>
                <w:rPr>
                  <w:color w:val="000000"/>
                  <w:sz w:val="18"/>
                  <w:szCs w:val="18"/>
                </w:rPr>
                <w:t>Fed. R. Civ. P. 56(a)</w:t>
              </w:r>
            </w:hyperlink>
            <w:r>
              <w:rPr>
                <w:color w:val="000000"/>
                <w:sz w:val="18"/>
                <w:szCs w:val="18"/>
              </w:rPr>
              <w:t>.</w:t>
            </w:r>
          </w:p>
          <w:p w14:paraId="02B4B10C" w14:textId="77777777" w:rsidR="00793DC4" w:rsidRDefault="00793DC4">
            <w:pPr>
              <w:widowControl w:val="0"/>
              <w:autoSpaceDE w:val="0"/>
              <w:autoSpaceDN w:val="0"/>
              <w:adjustRightInd w:val="0"/>
              <w:jc w:val="both"/>
              <w:rPr>
                <w:color w:val="000000"/>
                <w:sz w:val="18"/>
                <w:szCs w:val="18"/>
              </w:rPr>
            </w:pPr>
          </w:p>
        </w:tc>
      </w:tr>
    </w:tbl>
    <w:p w14:paraId="2A5E705C"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7D01BB0F" w14:textId="77777777">
        <w:tblPrEx>
          <w:tblCellMar>
            <w:top w:w="0" w:type="dxa"/>
            <w:left w:w="0" w:type="dxa"/>
            <w:bottom w:w="0" w:type="dxa"/>
            <w:right w:w="0" w:type="dxa"/>
          </w:tblCellMar>
        </w:tblPrEx>
        <w:tc>
          <w:tcPr>
            <w:tcW w:w="600" w:type="dxa"/>
            <w:tcBorders>
              <w:top w:val="nil"/>
              <w:left w:val="nil"/>
              <w:bottom w:val="nil"/>
              <w:right w:val="nil"/>
            </w:tcBorders>
          </w:tcPr>
          <w:bookmarkStart w:id="281" w:name="co_footnote_B01402041287330_1"/>
          <w:bookmarkEnd w:id="281"/>
          <w:p w14:paraId="0409463A"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"#co_footnoteReference_B01402041287330_ID0" </w:instrText>
            </w:r>
            <w:r w:rsidR="00F61700">
              <w:rPr>
                <w:color w:val="000000"/>
              </w:rPr>
            </w:r>
            <w:r>
              <w:rPr>
                <w:color w:val="000000"/>
              </w:rPr>
              <w:fldChar w:fldCharType="separate"/>
            </w:r>
            <w:r>
              <w:rPr>
                <w:color w:val="000000"/>
                <w:vertAlign w:val="superscript"/>
              </w:rPr>
              <w:t>139</w:t>
            </w:r>
            <w:r>
              <w:rPr>
                <w:color w:val="000000"/>
              </w:rPr>
              <w:fldChar w:fldCharType="end"/>
            </w:r>
          </w:p>
          <w:p w14:paraId="72D7D983"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5DC06A81" w14:textId="77777777" w:rsidR="00793DC4" w:rsidRDefault="00793DC4">
            <w:pPr>
              <w:widowControl w:val="0"/>
              <w:autoSpaceDE w:val="0"/>
              <w:autoSpaceDN w:val="0"/>
              <w:adjustRightInd w:val="0"/>
              <w:jc w:val="both"/>
              <w:rPr>
                <w:color w:val="000000"/>
                <w:sz w:val="18"/>
                <w:szCs w:val="18"/>
              </w:rPr>
            </w:pPr>
            <w:hyperlink r:id="rId398" w:history="1">
              <w:r>
                <w:rPr>
                  <w:i/>
                  <w:iCs/>
                  <w:color w:val="000000"/>
                  <w:sz w:val="18"/>
                  <w:szCs w:val="18"/>
                </w:rPr>
                <w:t>Anderson</w:t>
              </w:r>
              <w:r>
                <w:rPr>
                  <w:color w:val="000000"/>
                  <w:sz w:val="18"/>
                  <w:szCs w:val="18"/>
                </w:rPr>
                <w:t xml:space="preserve">, 477 U.S. at 255, 106 </w:t>
              </w:r>
              <w:proofErr w:type="spellStart"/>
              <w:r>
                <w:rPr>
                  <w:color w:val="000000"/>
                  <w:sz w:val="18"/>
                  <w:szCs w:val="18"/>
                </w:rPr>
                <w:t>S.Ct</w:t>
              </w:r>
              <w:proofErr w:type="spellEnd"/>
              <w:r>
                <w:rPr>
                  <w:color w:val="000000"/>
                  <w:sz w:val="18"/>
                  <w:szCs w:val="18"/>
                </w:rPr>
                <w:t>. 2505</w:t>
              </w:r>
            </w:hyperlink>
            <w:r>
              <w:rPr>
                <w:color w:val="000000"/>
                <w:sz w:val="18"/>
                <w:szCs w:val="18"/>
              </w:rPr>
              <w:t>.</w:t>
            </w:r>
          </w:p>
          <w:p w14:paraId="39C2B0B4" w14:textId="77777777" w:rsidR="00793DC4" w:rsidRDefault="00793DC4">
            <w:pPr>
              <w:widowControl w:val="0"/>
              <w:autoSpaceDE w:val="0"/>
              <w:autoSpaceDN w:val="0"/>
              <w:adjustRightInd w:val="0"/>
              <w:jc w:val="both"/>
              <w:rPr>
                <w:color w:val="000000"/>
                <w:sz w:val="18"/>
                <w:szCs w:val="18"/>
              </w:rPr>
            </w:pPr>
          </w:p>
        </w:tc>
      </w:tr>
    </w:tbl>
    <w:p w14:paraId="46722E34"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6013EF69" w14:textId="77777777">
        <w:tblPrEx>
          <w:tblCellMar>
            <w:top w:w="0" w:type="dxa"/>
            <w:left w:w="0" w:type="dxa"/>
            <w:bottom w:w="0" w:type="dxa"/>
            <w:right w:w="0" w:type="dxa"/>
          </w:tblCellMar>
        </w:tblPrEx>
        <w:tc>
          <w:tcPr>
            <w:tcW w:w="600" w:type="dxa"/>
            <w:tcBorders>
              <w:top w:val="nil"/>
              <w:left w:val="nil"/>
              <w:bottom w:val="nil"/>
              <w:right w:val="nil"/>
            </w:tcBorders>
          </w:tcPr>
          <w:bookmarkStart w:id="282" w:name="co_footnote_B01412041287330_1"/>
          <w:bookmarkEnd w:id="282"/>
          <w:p w14:paraId="25634F31"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"#co_footnoteReference_B01412041287330_ID0" </w:instrText>
            </w:r>
            <w:r w:rsidR="00F61700">
              <w:rPr>
                <w:color w:val="000000"/>
              </w:rPr>
            </w:r>
            <w:r>
              <w:rPr>
                <w:color w:val="000000"/>
              </w:rPr>
              <w:fldChar w:fldCharType="separate"/>
            </w:r>
            <w:r>
              <w:rPr>
                <w:color w:val="000000"/>
                <w:vertAlign w:val="superscript"/>
              </w:rPr>
              <w:t>140</w:t>
            </w:r>
            <w:r>
              <w:rPr>
                <w:color w:val="000000"/>
              </w:rPr>
              <w:fldChar w:fldCharType="end"/>
            </w:r>
          </w:p>
          <w:p w14:paraId="6DE1DD85"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0CFC258A" w14:textId="77777777" w:rsidR="00793DC4" w:rsidRDefault="00793DC4">
            <w:pPr>
              <w:widowControl w:val="0"/>
              <w:autoSpaceDE w:val="0"/>
              <w:autoSpaceDN w:val="0"/>
              <w:adjustRightInd w:val="0"/>
              <w:jc w:val="both"/>
              <w:rPr>
                <w:color w:val="000000"/>
                <w:sz w:val="18"/>
                <w:szCs w:val="18"/>
              </w:rPr>
            </w:pPr>
            <w:hyperlink r:id="rId399" w:history="1">
              <w:r>
                <w:rPr>
                  <w:i/>
                  <w:iCs/>
                  <w:color w:val="000000"/>
                  <w:sz w:val="18"/>
                  <w:szCs w:val="18"/>
                </w:rPr>
                <w:t>Reedy</w:t>
              </w:r>
              <w:r>
                <w:rPr>
                  <w:color w:val="000000"/>
                  <w:sz w:val="18"/>
                  <w:szCs w:val="18"/>
                </w:rPr>
                <w:t>, 615 F.3d at 210</w:t>
              </w:r>
            </w:hyperlink>
            <w:r>
              <w:rPr>
                <w:color w:val="000000"/>
                <w:sz w:val="18"/>
                <w:szCs w:val="18"/>
              </w:rPr>
              <w:t>.</w:t>
            </w:r>
          </w:p>
          <w:p w14:paraId="4038DA1A" w14:textId="77777777" w:rsidR="00793DC4" w:rsidRDefault="00793DC4">
            <w:pPr>
              <w:widowControl w:val="0"/>
              <w:autoSpaceDE w:val="0"/>
              <w:autoSpaceDN w:val="0"/>
              <w:adjustRightInd w:val="0"/>
              <w:jc w:val="both"/>
              <w:rPr>
                <w:color w:val="000000"/>
                <w:sz w:val="18"/>
                <w:szCs w:val="18"/>
              </w:rPr>
            </w:pPr>
          </w:p>
        </w:tc>
      </w:tr>
    </w:tbl>
    <w:p w14:paraId="77D4726C"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43B72483" w14:textId="77777777">
        <w:tblPrEx>
          <w:tblCellMar>
            <w:top w:w="0" w:type="dxa"/>
            <w:left w:w="0" w:type="dxa"/>
            <w:bottom w:w="0" w:type="dxa"/>
            <w:right w:w="0" w:type="dxa"/>
          </w:tblCellMar>
        </w:tblPrEx>
        <w:tc>
          <w:tcPr>
            <w:tcW w:w="600" w:type="dxa"/>
            <w:tcBorders>
              <w:top w:val="nil"/>
              <w:left w:val="nil"/>
              <w:bottom w:val="nil"/>
              <w:right w:val="nil"/>
            </w:tcBorders>
          </w:tcPr>
          <w:bookmarkStart w:id="283" w:name="co_footnote_B01422041287330_1"/>
          <w:bookmarkEnd w:id="283"/>
          <w:p w14:paraId="2C368CED"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"#co_footnoteReference_B01422041287330_ID0" </w:instrText>
            </w:r>
            <w:r w:rsidR="00F61700">
              <w:rPr>
                <w:color w:val="000000"/>
              </w:rPr>
            </w:r>
            <w:r>
              <w:rPr>
                <w:color w:val="000000"/>
              </w:rPr>
              <w:fldChar w:fldCharType="separate"/>
            </w:r>
            <w:r>
              <w:rPr>
                <w:color w:val="000000"/>
                <w:vertAlign w:val="superscript"/>
              </w:rPr>
              <w:t>141</w:t>
            </w:r>
            <w:r>
              <w:rPr>
                <w:color w:val="000000"/>
              </w:rPr>
              <w:fldChar w:fldCharType="end"/>
            </w:r>
          </w:p>
          <w:p w14:paraId="43C924F5"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169BA213" w14:textId="77777777" w:rsidR="00793DC4" w:rsidRDefault="00793DC4">
            <w:pPr>
              <w:widowControl w:val="0"/>
              <w:autoSpaceDE w:val="0"/>
              <w:autoSpaceDN w:val="0"/>
              <w:adjustRightInd w:val="0"/>
              <w:jc w:val="both"/>
              <w:rPr>
                <w:color w:val="000000"/>
                <w:sz w:val="18"/>
                <w:szCs w:val="18"/>
              </w:rPr>
            </w:pPr>
            <w:hyperlink r:id="rId400" w:history="1">
              <w:r>
                <w:rPr>
                  <w:i/>
                  <w:iCs/>
                  <w:color w:val="000000"/>
                  <w:sz w:val="18"/>
                  <w:szCs w:val="18"/>
                </w:rPr>
                <w:t>El v. Se. Pa. Transp. Auth.</w:t>
              </w:r>
              <w:r>
                <w:rPr>
                  <w:color w:val="000000"/>
                  <w:sz w:val="18"/>
                  <w:szCs w:val="18"/>
                </w:rPr>
                <w:t>, 479 F.3d 232, 238 (3d Cir. 2007)</w:t>
              </w:r>
            </w:hyperlink>
            <w:r>
              <w:rPr>
                <w:color w:val="000000"/>
                <w:sz w:val="18"/>
                <w:szCs w:val="18"/>
              </w:rPr>
              <w:t>.</w:t>
            </w:r>
          </w:p>
          <w:p w14:paraId="6BA568EC" w14:textId="77777777" w:rsidR="00793DC4" w:rsidRDefault="00793DC4">
            <w:pPr>
              <w:widowControl w:val="0"/>
              <w:autoSpaceDE w:val="0"/>
              <w:autoSpaceDN w:val="0"/>
              <w:adjustRightInd w:val="0"/>
              <w:jc w:val="both"/>
              <w:rPr>
                <w:color w:val="000000"/>
                <w:sz w:val="18"/>
                <w:szCs w:val="18"/>
              </w:rPr>
            </w:pPr>
          </w:p>
        </w:tc>
      </w:tr>
    </w:tbl>
    <w:p w14:paraId="64009C51" w14:textId="77777777" w:rsidR="00793DC4" w:rsidRDefault="00793DC4">
      <w:pPr>
        <w:widowControl w:val="0"/>
        <w:autoSpaceDE w:val="0"/>
        <w:autoSpaceDN w:val="0"/>
        <w:adjustRightInd w:val="0"/>
        <w:jc w:val="both"/>
        <w:rPr>
          <w:color w:val="000000"/>
        </w:rPr>
      </w:pPr>
    </w:p>
    <w:p w14:paraId="0679AA64" w14:textId="77777777" w:rsidR="00793DC4" w:rsidRDefault="00793DC4">
      <w:pPr>
        <w:widowControl w:val="0"/>
        <w:autoSpaceDE w:val="0"/>
        <w:autoSpaceDN w:val="0"/>
        <w:adjustRightInd w:val="0"/>
        <w:jc w:val="both"/>
        <w:rPr>
          <w:color w:val="000000"/>
        </w:rPr>
      </w:pPr>
      <w:hyperlink r:id="rId401" w:history="1">
        <w:r>
          <w:rPr>
            <w:b/>
            <w:bCs/>
            <w:color w:val="000000"/>
            <w:vertAlign w:val="superscript"/>
          </w:rPr>
          <w:t>[13]</w:t>
        </w:r>
      </w:hyperlink>
      <w:r>
        <w:rPr>
          <w:color w:val="000000"/>
        </w:rPr>
        <w:t xml:space="preserve"> </w:t>
      </w:r>
      <w:hyperlink r:id="rId402" w:history="1">
        <w:r>
          <w:rPr>
            <w:b/>
            <w:bCs/>
            <w:color w:val="000000"/>
            <w:vertAlign w:val="superscript"/>
          </w:rPr>
          <w:t>[14]</w:t>
        </w:r>
      </w:hyperlink>
      <w:r>
        <w:rPr>
          <w:color w:val="000000"/>
        </w:rPr>
        <w:t>Special considerations arise in the preemption context. Impossibility preemption is an affirmative defense</w:t>
      </w:r>
      <w:bookmarkStart w:id="284" w:name="co_footnoteReference_B01432041287330_ID0"/>
      <w:bookmarkEnd w:id="284"/>
      <w:r>
        <w:rPr>
          <w:color w:val="000000"/>
          <w:sz w:val="16"/>
          <w:szCs w:val="16"/>
        </w:rPr>
        <w:fldChar w:fldCharType="begin"/>
      </w:r>
      <w:r>
        <w:rPr>
          <w:color w:val="000000"/>
          <w:sz w:val="16"/>
          <w:szCs w:val="16"/>
        </w:rPr>
        <w:instrText xml:space="preserve">HYPERLINK "#co_footnote_B01432041287330_1" </w:instrText>
      </w:r>
      <w:r w:rsidR="00F61700">
        <w:rPr>
          <w:color w:val="000000"/>
          <w:sz w:val="16"/>
          <w:szCs w:val="16"/>
        </w:rPr>
      </w:r>
      <w:r>
        <w:rPr>
          <w:color w:val="000000"/>
          <w:sz w:val="16"/>
          <w:szCs w:val="16"/>
        </w:rPr>
        <w:fldChar w:fldCharType="separate"/>
      </w:r>
      <w:r>
        <w:rPr>
          <w:color w:val="000000"/>
          <w:sz w:val="16"/>
          <w:szCs w:val="16"/>
          <w:vertAlign w:val="superscript"/>
        </w:rPr>
        <w:t>142</w:t>
      </w:r>
      <w:r>
        <w:rPr>
          <w:color w:val="000000"/>
          <w:sz w:val="16"/>
          <w:szCs w:val="16"/>
        </w:rPr>
        <w:fldChar w:fldCharType="end"/>
      </w:r>
      <w:r>
        <w:rPr>
          <w:color w:val="000000"/>
        </w:rPr>
        <w:t xml:space="preserve"> on which Merck bears the burdens of production and persuasion.</w:t>
      </w:r>
      <w:bookmarkStart w:id="285" w:name="co_footnoteReference_B01442041287330_ID0"/>
      <w:bookmarkEnd w:id="285"/>
      <w:r>
        <w:rPr>
          <w:color w:val="000000"/>
          <w:sz w:val="16"/>
          <w:szCs w:val="16"/>
        </w:rPr>
        <w:fldChar w:fldCharType="begin"/>
      </w:r>
      <w:r>
        <w:rPr>
          <w:color w:val="000000"/>
          <w:sz w:val="16"/>
          <w:szCs w:val="16"/>
        </w:rPr>
        <w:instrText xml:space="preserve">HYPERLINK "#co_footnote_B01442041287330_1" </w:instrText>
      </w:r>
      <w:r w:rsidR="00F61700">
        <w:rPr>
          <w:color w:val="000000"/>
          <w:sz w:val="16"/>
          <w:szCs w:val="16"/>
        </w:rPr>
      </w:r>
      <w:r>
        <w:rPr>
          <w:color w:val="000000"/>
          <w:sz w:val="16"/>
          <w:szCs w:val="16"/>
        </w:rPr>
        <w:fldChar w:fldCharType="separate"/>
      </w:r>
      <w:r>
        <w:rPr>
          <w:color w:val="000000"/>
          <w:sz w:val="16"/>
          <w:szCs w:val="16"/>
          <w:vertAlign w:val="superscript"/>
        </w:rPr>
        <w:t>143</w:t>
      </w:r>
      <w:r>
        <w:rPr>
          <w:color w:val="000000"/>
          <w:sz w:val="16"/>
          <w:szCs w:val="16"/>
        </w:rPr>
        <w:fldChar w:fldCharType="end"/>
      </w:r>
      <w:r>
        <w:rPr>
          <w:color w:val="000000"/>
        </w:rPr>
        <w:t xml:space="preserve"> Crucially, “the inquiry involved in a ruling on a motion for summary judgment ... necessarily implicates the substantive evidentiary standard of proof that would apply at the trial on the merits.”</w:t>
      </w:r>
      <w:bookmarkStart w:id="286" w:name="co_footnoteReference_B01452041287330_ID0"/>
      <w:bookmarkEnd w:id="286"/>
      <w:r>
        <w:rPr>
          <w:color w:val="000000"/>
          <w:sz w:val="16"/>
          <w:szCs w:val="16"/>
        </w:rPr>
        <w:fldChar w:fldCharType="begin"/>
      </w:r>
      <w:r>
        <w:rPr>
          <w:color w:val="000000"/>
          <w:sz w:val="16"/>
          <w:szCs w:val="16"/>
        </w:rPr>
        <w:instrText xml:space="preserve">HYPERLINK "#co_footnote_B01452041287330_1" </w:instrText>
      </w:r>
      <w:r w:rsidR="00F61700">
        <w:rPr>
          <w:color w:val="000000"/>
          <w:sz w:val="16"/>
          <w:szCs w:val="16"/>
        </w:rPr>
      </w:r>
      <w:r>
        <w:rPr>
          <w:color w:val="000000"/>
          <w:sz w:val="16"/>
          <w:szCs w:val="16"/>
        </w:rPr>
        <w:fldChar w:fldCharType="separate"/>
      </w:r>
      <w:r>
        <w:rPr>
          <w:color w:val="000000"/>
          <w:sz w:val="16"/>
          <w:szCs w:val="16"/>
          <w:vertAlign w:val="superscript"/>
        </w:rPr>
        <w:t>144</w:t>
      </w:r>
      <w:r>
        <w:rPr>
          <w:color w:val="000000"/>
          <w:sz w:val="16"/>
          <w:szCs w:val="16"/>
        </w:rPr>
        <w:fldChar w:fldCharType="end"/>
      </w:r>
      <w:r>
        <w:rPr>
          <w:color w:val="000000"/>
        </w:rPr>
        <w:t xml:space="preserve"> As discussed above, </w:t>
      </w:r>
      <w:hyperlink r:id="rId403" w:history="1">
        <w:r>
          <w:rPr>
            <w:i/>
            <w:iCs/>
            <w:color w:val="000000"/>
          </w:rPr>
          <w:t>Wyeth</w:t>
        </w:r>
        <w:r>
          <w:rPr>
            <w:color w:val="000000"/>
          </w:rPr>
          <w:t>’s</w:t>
        </w:r>
      </w:hyperlink>
      <w:r>
        <w:rPr>
          <w:color w:val="000000"/>
        </w:rPr>
        <w:t xml:space="preserve"> “clear evidence” standard of proof requires the manufacturer to prove that it is highly probable that the FDA would not have approved a change to the drug’s label. Therefore, the question for summary judgment purposes is not just whether a reasonable juror could find that the FDA would have approved Plaintiffs’ proposed warning. It is whether a reasonable juror could find that it is </w:t>
      </w:r>
      <w:r>
        <w:rPr>
          <w:i/>
          <w:iCs/>
          <w:color w:val="000000"/>
        </w:rPr>
        <w:t>highly probable</w:t>
      </w:r>
      <w:r>
        <w:rPr>
          <w:color w:val="000000"/>
        </w:rPr>
        <w:t xml:space="preserve"> that the FDA would have rejected the warning. Put differently: even if it seems possible or plausible that the FDA would have rejected the proposed warning, could a reasonable juror nonetheless conclude that the odds of rejection were something less than highly probable? In </w:t>
      </w:r>
      <w:hyperlink r:id="rId404" w:history="1">
        <w:r>
          <w:rPr>
            <w:i/>
            <w:iCs/>
            <w:color w:val="000000"/>
          </w:rPr>
          <w:t>El v. Southeastern Pennsylvania Transportation Authority</w:t>
        </w:r>
      </w:hyperlink>
      <w:r>
        <w:rPr>
          <w:color w:val="000000"/>
        </w:rPr>
        <w:t xml:space="preserve">, we said that “if there is a chance that a reasonable </w:t>
      </w:r>
      <w:proofErr w:type="spellStart"/>
      <w:r>
        <w:rPr>
          <w:color w:val="000000"/>
        </w:rPr>
        <w:t>factfinder</w:t>
      </w:r>
      <w:proofErr w:type="spellEnd"/>
      <w:r>
        <w:rPr>
          <w:color w:val="000000"/>
        </w:rPr>
        <w:t xml:space="preserve"> would not accept a moving party’s necessary propositions of fact, pre-trial judgment cannot be granted.”</w:t>
      </w:r>
      <w:bookmarkStart w:id="287" w:name="co_footnoteReference_B01462041287330_ID0"/>
      <w:bookmarkEnd w:id="287"/>
      <w:r>
        <w:rPr>
          <w:color w:val="000000"/>
          <w:sz w:val="16"/>
          <w:szCs w:val="16"/>
        </w:rPr>
        <w:fldChar w:fldCharType="begin"/>
      </w:r>
      <w:r>
        <w:rPr>
          <w:color w:val="000000"/>
          <w:sz w:val="16"/>
          <w:szCs w:val="16"/>
        </w:rPr>
        <w:instrText xml:space="preserve">HYPERLINK "#co_footnote_B01462041287330_1" </w:instrText>
      </w:r>
      <w:r w:rsidR="00F61700">
        <w:rPr>
          <w:color w:val="000000"/>
          <w:sz w:val="16"/>
          <w:szCs w:val="16"/>
        </w:rPr>
      </w:r>
      <w:r>
        <w:rPr>
          <w:color w:val="000000"/>
          <w:sz w:val="16"/>
          <w:szCs w:val="16"/>
        </w:rPr>
        <w:fldChar w:fldCharType="separate"/>
      </w:r>
      <w:r>
        <w:rPr>
          <w:color w:val="000000"/>
          <w:sz w:val="16"/>
          <w:szCs w:val="16"/>
          <w:vertAlign w:val="superscript"/>
        </w:rPr>
        <w:t>145</w:t>
      </w:r>
      <w:r>
        <w:rPr>
          <w:color w:val="000000"/>
          <w:sz w:val="16"/>
          <w:szCs w:val="16"/>
        </w:rPr>
        <w:fldChar w:fldCharType="end"/>
      </w:r>
      <w:r>
        <w:rPr>
          <w:color w:val="000000"/>
        </w:rPr>
        <w:t xml:space="preserve"> The corresponding proposition here is: if there is a chance that a reasonable </w:t>
      </w:r>
      <w:proofErr w:type="spellStart"/>
      <w:r>
        <w:rPr>
          <w:color w:val="000000"/>
        </w:rPr>
        <w:t>factfinder</w:t>
      </w:r>
      <w:proofErr w:type="spellEnd"/>
      <w:r>
        <w:rPr>
          <w:color w:val="000000"/>
        </w:rPr>
        <w:t xml:space="preserve"> would not find that it is highly probable that the FDA would have rejected Plaintiffs’ warning, pre-trial judgment cannot be granted.</w:t>
      </w:r>
    </w:p>
    <w:p w14:paraId="048A8570"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7DC71233" w14:textId="77777777">
        <w:tblPrEx>
          <w:tblCellMar>
            <w:top w:w="0" w:type="dxa"/>
            <w:left w:w="0" w:type="dxa"/>
            <w:bottom w:w="0" w:type="dxa"/>
            <w:right w:w="0" w:type="dxa"/>
          </w:tblCellMar>
        </w:tblPrEx>
        <w:tc>
          <w:tcPr>
            <w:tcW w:w="600" w:type="dxa"/>
            <w:tcBorders>
              <w:top w:val="nil"/>
              <w:left w:val="nil"/>
              <w:bottom w:val="nil"/>
              <w:right w:val="nil"/>
            </w:tcBorders>
          </w:tcPr>
          <w:bookmarkStart w:id="288" w:name="co_footnote_B01432041287330_1"/>
          <w:bookmarkEnd w:id="288"/>
          <w:p w14:paraId="512DDBA0"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"#co_footnoteReference_B01432041287330_ID0" </w:instrText>
            </w:r>
            <w:r w:rsidR="00F61700">
              <w:rPr>
                <w:color w:val="000000"/>
              </w:rPr>
            </w:r>
            <w:r>
              <w:rPr>
                <w:color w:val="000000"/>
              </w:rPr>
              <w:fldChar w:fldCharType="separate"/>
            </w:r>
            <w:r>
              <w:rPr>
                <w:color w:val="000000"/>
                <w:vertAlign w:val="superscript"/>
              </w:rPr>
              <w:t>142</w:t>
            </w:r>
            <w:r>
              <w:rPr>
                <w:color w:val="000000"/>
              </w:rPr>
              <w:fldChar w:fldCharType="end"/>
            </w:r>
          </w:p>
          <w:p w14:paraId="674F5CF8"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6AAE79BF" w14:textId="77777777" w:rsidR="00793DC4" w:rsidRDefault="00793DC4">
            <w:pPr>
              <w:widowControl w:val="0"/>
              <w:autoSpaceDE w:val="0"/>
              <w:autoSpaceDN w:val="0"/>
              <w:adjustRightInd w:val="0"/>
              <w:jc w:val="both"/>
              <w:rPr>
                <w:color w:val="000000"/>
                <w:sz w:val="18"/>
                <w:szCs w:val="18"/>
              </w:rPr>
            </w:pPr>
            <w:hyperlink r:id="rId405" w:history="1">
              <w:r>
                <w:rPr>
                  <w:i/>
                  <w:iCs/>
                  <w:color w:val="000000"/>
                  <w:sz w:val="18"/>
                  <w:szCs w:val="18"/>
                </w:rPr>
                <w:t>PLIVA</w:t>
              </w:r>
              <w:r>
                <w:rPr>
                  <w:color w:val="000000"/>
                  <w:sz w:val="18"/>
                  <w:szCs w:val="18"/>
                </w:rPr>
                <w:t xml:space="preserve">, 564 U.S. at 634, 131 </w:t>
              </w:r>
              <w:proofErr w:type="spellStart"/>
              <w:r>
                <w:rPr>
                  <w:color w:val="000000"/>
                  <w:sz w:val="18"/>
                  <w:szCs w:val="18"/>
                </w:rPr>
                <w:t>S.Ct</w:t>
              </w:r>
              <w:proofErr w:type="spellEnd"/>
              <w:r>
                <w:rPr>
                  <w:color w:val="000000"/>
                  <w:sz w:val="18"/>
                  <w:szCs w:val="18"/>
                </w:rPr>
                <w:t>. 2567</w:t>
              </w:r>
            </w:hyperlink>
            <w:r>
              <w:rPr>
                <w:color w:val="000000"/>
                <w:sz w:val="18"/>
                <w:szCs w:val="18"/>
              </w:rPr>
              <w:t>.</w:t>
            </w:r>
          </w:p>
          <w:p w14:paraId="4281848E" w14:textId="77777777" w:rsidR="00793DC4" w:rsidRDefault="00793DC4">
            <w:pPr>
              <w:widowControl w:val="0"/>
              <w:autoSpaceDE w:val="0"/>
              <w:autoSpaceDN w:val="0"/>
              <w:adjustRightInd w:val="0"/>
              <w:jc w:val="both"/>
              <w:rPr>
                <w:color w:val="000000"/>
                <w:sz w:val="18"/>
                <w:szCs w:val="18"/>
              </w:rPr>
            </w:pPr>
          </w:p>
        </w:tc>
      </w:tr>
    </w:tbl>
    <w:p w14:paraId="59122DD4"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0D72409F" w14:textId="77777777">
        <w:tblPrEx>
          <w:tblCellMar>
            <w:top w:w="0" w:type="dxa"/>
            <w:left w:w="0" w:type="dxa"/>
            <w:bottom w:w="0" w:type="dxa"/>
            <w:right w:w="0" w:type="dxa"/>
          </w:tblCellMar>
        </w:tblPrEx>
        <w:tc>
          <w:tcPr>
            <w:tcW w:w="600" w:type="dxa"/>
            <w:tcBorders>
              <w:top w:val="nil"/>
              <w:left w:val="nil"/>
              <w:bottom w:val="nil"/>
              <w:right w:val="nil"/>
            </w:tcBorders>
          </w:tcPr>
          <w:bookmarkStart w:id="289" w:name="co_footnote_B01442041287330_1"/>
          <w:bookmarkEnd w:id="289"/>
          <w:p w14:paraId="29750F3C"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"#co_footnoteReference_B01442041287330_ID0" </w:instrText>
            </w:r>
            <w:r w:rsidR="00F61700">
              <w:rPr>
                <w:color w:val="000000"/>
              </w:rPr>
            </w:r>
            <w:r>
              <w:rPr>
                <w:color w:val="000000"/>
              </w:rPr>
              <w:fldChar w:fldCharType="separate"/>
            </w:r>
            <w:r>
              <w:rPr>
                <w:color w:val="000000"/>
                <w:vertAlign w:val="superscript"/>
              </w:rPr>
              <w:t>143</w:t>
            </w:r>
            <w:r>
              <w:rPr>
                <w:color w:val="000000"/>
              </w:rPr>
              <w:fldChar w:fldCharType="end"/>
            </w:r>
          </w:p>
          <w:p w14:paraId="0AD635E2"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56DDE4B5" w14:textId="77777777" w:rsidR="00793DC4" w:rsidRDefault="00793DC4">
            <w:pPr>
              <w:widowControl w:val="0"/>
              <w:autoSpaceDE w:val="0"/>
              <w:autoSpaceDN w:val="0"/>
              <w:adjustRightInd w:val="0"/>
              <w:jc w:val="both"/>
              <w:rPr>
                <w:color w:val="000000"/>
                <w:sz w:val="18"/>
                <w:szCs w:val="18"/>
              </w:rPr>
            </w:pPr>
            <w:hyperlink r:id="rId406" w:history="1">
              <w:r>
                <w:rPr>
                  <w:i/>
                  <w:iCs/>
                  <w:color w:val="000000"/>
                  <w:sz w:val="18"/>
                  <w:szCs w:val="18"/>
                </w:rPr>
                <w:t>El</w:t>
              </w:r>
              <w:r>
                <w:rPr>
                  <w:color w:val="000000"/>
                  <w:sz w:val="18"/>
                  <w:szCs w:val="18"/>
                </w:rPr>
                <w:t>, 479 F.3d at 237 &amp; n.6</w:t>
              </w:r>
            </w:hyperlink>
            <w:r>
              <w:rPr>
                <w:color w:val="000000"/>
                <w:sz w:val="18"/>
                <w:szCs w:val="18"/>
              </w:rPr>
              <w:t>.</w:t>
            </w:r>
          </w:p>
          <w:p w14:paraId="199BEA25" w14:textId="77777777" w:rsidR="00793DC4" w:rsidRDefault="00793DC4">
            <w:pPr>
              <w:widowControl w:val="0"/>
              <w:autoSpaceDE w:val="0"/>
              <w:autoSpaceDN w:val="0"/>
              <w:adjustRightInd w:val="0"/>
              <w:jc w:val="both"/>
              <w:rPr>
                <w:color w:val="000000"/>
                <w:sz w:val="18"/>
                <w:szCs w:val="18"/>
              </w:rPr>
            </w:pPr>
          </w:p>
        </w:tc>
      </w:tr>
    </w:tbl>
    <w:p w14:paraId="7325C98F"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65CA9EC7" w14:textId="77777777">
        <w:tblPrEx>
          <w:tblCellMar>
            <w:top w:w="0" w:type="dxa"/>
            <w:left w:w="0" w:type="dxa"/>
            <w:bottom w:w="0" w:type="dxa"/>
            <w:right w:w="0" w:type="dxa"/>
          </w:tblCellMar>
        </w:tblPrEx>
        <w:tc>
          <w:tcPr>
            <w:tcW w:w="600" w:type="dxa"/>
            <w:tcBorders>
              <w:top w:val="nil"/>
              <w:left w:val="nil"/>
              <w:bottom w:val="nil"/>
              <w:right w:val="nil"/>
            </w:tcBorders>
          </w:tcPr>
          <w:bookmarkStart w:id="290" w:name="co_footnote_B01452041287330_1"/>
          <w:bookmarkEnd w:id="290"/>
          <w:p w14:paraId="0BB25CD4"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"#co_footnoteReference_B01452041287330_ID0" </w:instrText>
            </w:r>
            <w:r w:rsidR="00F61700">
              <w:rPr>
                <w:color w:val="000000"/>
              </w:rPr>
            </w:r>
            <w:r>
              <w:rPr>
                <w:color w:val="000000"/>
              </w:rPr>
              <w:fldChar w:fldCharType="separate"/>
            </w:r>
            <w:r>
              <w:rPr>
                <w:color w:val="000000"/>
                <w:vertAlign w:val="superscript"/>
              </w:rPr>
              <w:t>144</w:t>
            </w:r>
            <w:r>
              <w:rPr>
                <w:color w:val="000000"/>
              </w:rPr>
              <w:fldChar w:fldCharType="end"/>
            </w:r>
          </w:p>
          <w:p w14:paraId="549FD774"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13195DF3" w14:textId="77777777" w:rsidR="00793DC4" w:rsidRDefault="00793DC4">
            <w:pPr>
              <w:widowControl w:val="0"/>
              <w:autoSpaceDE w:val="0"/>
              <w:autoSpaceDN w:val="0"/>
              <w:adjustRightInd w:val="0"/>
              <w:jc w:val="both"/>
              <w:rPr>
                <w:color w:val="000000"/>
                <w:sz w:val="18"/>
                <w:szCs w:val="18"/>
              </w:rPr>
            </w:pPr>
            <w:hyperlink r:id="rId407" w:history="1">
              <w:r>
                <w:rPr>
                  <w:i/>
                  <w:iCs/>
                  <w:color w:val="000000"/>
                  <w:sz w:val="18"/>
                  <w:szCs w:val="18"/>
                </w:rPr>
                <w:t>Anderson</w:t>
              </w:r>
              <w:r>
                <w:rPr>
                  <w:color w:val="000000"/>
                  <w:sz w:val="18"/>
                  <w:szCs w:val="18"/>
                </w:rPr>
                <w:t xml:space="preserve">, 477 U.S. at 252, 106 </w:t>
              </w:r>
              <w:proofErr w:type="spellStart"/>
              <w:r>
                <w:rPr>
                  <w:color w:val="000000"/>
                  <w:sz w:val="18"/>
                  <w:szCs w:val="18"/>
                </w:rPr>
                <w:t>S.Ct</w:t>
              </w:r>
              <w:proofErr w:type="spellEnd"/>
              <w:r>
                <w:rPr>
                  <w:color w:val="000000"/>
                  <w:sz w:val="18"/>
                  <w:szCs w:val="18"/>
                </w:rPr>
                <w:t>. 2505</w:t>
              </w:r>
            </w:hyperlink>
            <w:r>
              <w:rPr>
                <w:color w:val="000000"/>
                <w:sz w:val="18"/>
                <w:szCs w:val="18"/>
              </w:rPr>
              <w:t>.</w:t>
            </w:r>
          </w:p>
          <w:p w14:paraId="4F3600D4" w14:textId="77777777" w:rsidR="00793DC4" w:rsidRDefault="00793DC4">
            <w:pPr>
              <w:widowControl w:val="0"/>
              <w:autoSpaceDE w:val="0"/>
              <w:autoSpaceDN w:val="0"/>
              <w:adjustRightInd w:val="0"/>
              <w:jc w:val="both"/>
              <w:rPr>
                <w:color w:val="000000"/>
                <w:sz w:val="18"/>
                <w:szCs w:val="18"/>
              </w:rPr>
            </w:pPr>
          </w:p>
        </w:tc>
      </w:tr>
    </w:tbl>
    <w:p w14:paraId="293A295D"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4E60BB7A" w14:textId="77777777">
        <w:tblPrEx>
          <w:tblCellMar>
            <w:top w:w="0" w:type="dxa"/>
            <w:left w:w="0" w:type="dxa"/>
            <w:bottom w:w="0" w:type="dxa"/>
            <w:right w:w="0" w:type="dxa"/>
          </w:tblCellMar>
        </w:tblPrEx>
        <w:tc>
          <w:tcPr>
            <w:tcW w:w="600" w:type="dxa"/>
            <w:tcBorders>
              <w:top w:val="nil"/>
              <w:left w:val="nil"/>
              <w:bottom w:val="nil"/>
              <w:right w:val="nil"/>
            </w:tcBorders>
          </w:tcPr>
          <w:bookmarkStart w:id="291" w:name="co_footnote_B01462041287330_1"/>
          <w:bookmarkEnd w:id="291"/>
          <w:p w14:paraId="37518BEF"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"#co_footnoteReference_B01462041287330_ID0" </w:instrText>
            </w:r>
            <w:r w:rsidR="00F61700">
              <w:rPr>
                <w:color w:val="000000"/>
              </w:rPr>
            </w:r>
            <w:r>
              <w:rPr>
                <w:color w:val="000000"/>
              </w:rPr>
              <w:fldChar w:fldCharType="separate"/>
            </w:r>
            <w:r>
              <w:rPr>
                <w:color w:val="000000"/>
                <w:vertAlign w:val="superscript"/>
              </w:rPr>
              <w:t>145</w:t>
            </w:r>
            <w:r>
              <w:rPr>
                <w:color w:val="000000"/>
              </w:rPr>
              <w:fldChar w:fldCharType="end"/>
            </w:r>
          </w:p>
          <w:p w14:paraId="4E721DAD"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0AE94520" w14:textId="77777777" w:rsidR="00793DC4" w:rsidRDefault="00793DC4">
            <w:pPr>
              <w:widowControl w:val="0"/>
              <w:autoSpaceDE w:val="0"/>
              <w:autoSpaceDN w:val="0"/>
              <w:adjustRightInd w:val="0"/>
              <w:jc w:val="both"/>
              <w:rPr>
                <w:color w:val="000000"/>
                <w:sz w:val="18"/>
                <w:szCs w:val="18"/>
              </w:rPr>
            </w:pPr>
            <w:hyperlink r:id="rId408" w:history="1">
              <w:r>
                <w:rPr>
                  <w:i/>
                  <w:iCs/>
                  <w:color w:val="000000"/>
                  <w:sz w:val="18"/>
                  <w:szCs w:val="18"/>
                </w:rPr>
                <w:t>El</w:t>
              </w:r>
              <w:r>
                <w:rPr>
                  <w:color w:val="000000"/>
                  <w:sz w:val="18"/>
                  <w:szCs w:val="18"/>
                </w:rPr>
                <w:t>, 479 F.3d at 238</w:t>
              </w:r>
            </w:hyperlink>
            <w:r>
              <w:rPr>
                <w:color w:val="000000"/>
                <w:sz w:val="18"/>
                <w:szCs w:val="18"/>
              </w:rPr>
              <w:t>.</w:t>
            </w:r>
          </w:p>
          <w:p w14:paraId="320D96D8" w14:textId="77777777" w:rsidR="00793DC4" w:rsidRDefault="00793DC4">
            <w:pPr>
              <w:widowControl w:val="0"/>
              <w:autoSpaceDE w:val="0"/>
              <w:autoSpaceDN w:val="0"/>
              <w:adjustRightInd w:val="0"/>
              <w:jc w:val="both"/>
              <w:rPr>
                <w:color w:val="000000"/>
                <w:sz w:val="18"/>
                <w:szCs w:val="18"/>
              </w:rPr>
            </w:pPr>
          </w:p>
        </w:tc>
      </w:tr>
    </w:tbl>
    <w:p w14:paraId="70051D72" w14:textId="77777777" w:rsidR="00793DC4" w:rsidRDefault="00793DC4">
      <w:pPr>
        <w:widowControl w:val="0"/>
        <w:autoSpaceDE w:val="0"/>
        <w:autoSpaceDN w:val="0"/>
        <w:adjustRightInd w:val="0"/>
        <w:jc w:val="both"/>
        <w:rPr>
          <w:color w:val="000000"/>
        </w:rPr>
      </w:pPr>
    </w:p>
    <w:p w14:paraId="0F478E5C" w14:textId="77777777" w:rsidR="00793DC4" w:rsidRDefault="00793DC4">
      <w:pPr>
        <w:widowControl w:val="0"/>
        <w:autoSpaceDE w:val="0"/>
        <w:autoSpaceDN w:val="0"/>
        <w:adjustRightInd w:val="0"/>
        <w:jc w:val="both"/>
        <w:rPr>
          <w:color w:val="000000"/>
        </w:rPr>
      </w:pPr>
      <w:r>
        <w:rPr>
          <w:color w:val="000000"/>
        </w:rPr>
        <w:t>In summary: to affirm the District Court’s decision that the Warnings and Precautions Claims are preempted, we must find that no reasonable juror could conclude that it is anything less than highly probable that the FDA would have rejected Plaintiff’s proposed atypical-fracture warning had Merck proposed it to the FDA in September 2010.</w:t>
      </w:r>
    </w:p>
    <w:p w14:paraId="472D2149" w14:textId="77777777" w:rsidR="00793DC4" w:rsidRDefault="00793DC4">
      <w:pPr>
        <w:widowControl w:val="0"/>
        <w:autoSpaceDE w:val="0"/>
        <w:autoSpaceDN w:val="0"/>
        <w:adjustRightInd w:val="0"/>
        <w:jc w:val="both"/>
        <w:rPr>
          <w:color w:val="000000"/>
        </w:rPr>
      </w:pPr>
      <w:r>
        <w:rPr>
          <w:color w:val="000000"/>
        </w:rPr>
        <w:t> </w:t>
      </w:r>
    </w:p>
    <w:p w14:paraId="2962BA66" w14:textId="77777777" w:rsidR="00793DC4" w:rsidRDefault="00793DC4">
      <w:pPr>
        <w:widowControl w:val="0"/>
        <w:autoSpaceDE w:val="0"/>
        <w:autoSpaceDN w:val="0"/>
        <w:adjustRightInd w:val="0"/>
        <w:spacing w:before="400" w:after="200"/>
        <w:jc w:val="center"/>
        <w:rPr>
          <w:b/>
          <w:bCs/>
          <w:color w:val="000000"/>
        </w:rPr>
      </w:pPr>
      <w:r>
        <w:rPr>
          <w:b/>
          <w:bCs/>
          <w:color w:val="000000"/>
        </w:rPr>
        <w:t>B. Merck is Not Entitled to Summary Judgment on Plaintiffs’ Warnings and Precautions Claims</w:t>
      </w:r>
    </w:p>
    <w:p w14:paraId="4B959C77" w14:textId="77777777" w:rsidR="00793DC4" w:rsidRDefault="00793DC4">
      <w:pPr>
        <w:widowControl w:val="0"/>
        <w:autoSpaceDE w:val="0"/>
        <w:autoSpaceDN w:val="0"/>
        <w:adjustRightInd w:val="0"/>
        <w:jc w:val="both"/>
        <w:rPr>
          <w:color w:val="000000"/>
        </w:rPr>
      </w:pPr>
      <w:hyperlink r:id="rId409" w:history="1">
        <w:r>
          <w:rPr>
            <w:b/>
            <w:bCs/>
            <w:color w:val="000000"/>
            <w:vertAlign w:val="superscript"/>
          </w:rPr>
          <w:t>[15]</w:t>
        </w:r>
      </w:hyperlink>
      <w:r>
        <w:rPr>
          <w:color w:val="000000"/>
        </w:rPr>
        <w:t xml:space="preserve">Merck’s ultimate task under </w:t>
      </w:r>
      <w:hyperlink r:id="rId410" w:history="1">
        <w:r>
          <w:rPr>
            <w:i/>
            <w:iCs/>
            <w:color w:val="000000"/>
          </w:rPr>
          <w:t>Wyeth</w:t>
        </w:r>
      </w:hyperlink>
      <w:r>
        <w:rPr>
          <w:color w:val="000000"/>
        </w:rPr>
        <w:t xml:space="preserve"> is to prove by clear evidence that </w:t>
      </w:r>
      <w:r>
        <w:rPr>
          <w:b/>
          <w:bCs/>
          <w:color w:val="000000"/>
        </w:rPr>
        <w:t>*296</w:t>
      </w:r>
      <w:r>
        <w:rPr>
          <w:color w:val="000000"/>
        </w:rPr>
        <w:t xml:space="preserve"> the FDA would not have approved the warning about the link between </w:t>
      </w:r>
      <w:hyperlink r:id="rId411" w:history="1">
        <w:r>
          <w:rPr>
            <w:color w:val="000000"/>
          </w:rPr>
          <w:t>Fosamax</w:t>
        </w:r>
      </w:hyperlink>
      <w:r>
        <w:rPr>
          <w:color w:val="000000"/>
        </w:rPr>
        <w:t xml:space="preserve"> use and atypical femur fractures that Plaintiffs say was required under state law. Merck’s primary argument on appeal is that prior to September 2010, the FDA would have opposed </w:t>
      </w:r>
      <w:r>
        <w:rPr>
          <w:i/>
          <w:iCs/>
          <w:color w:val="000000"/>
        </w:rPr>
        <w:t>any</w:t>
      </w:r>
      <w:r>
        <w:rPr>
          <w:color w:val="000000"/>
        </w:rPr>
        <w:t xml:space="preserve"> warning about atypical femur fractures in the Warnings and Precautions section because the FDA did not believe that the science supported such a warning. As Merck points out, the FDA sought and analyzed information regarding atypical femur fractures in 2008; Merck responded with data and then proposed warning language for both the Warnings and Precautions and Adverse Reactions sections of the </w:t>
      </w:r>
      <w:hyperlink r:id="rId412" w:history="1">
        <w:r>
          <w:rPr>
            <w:color w:val="000000"/>
          </w:rPr>
          <w:t>Fosamax</w:t>
        </w:r>
      </w:hyperlink>
      <w:r>
        <w:rPr>
          <w:color w:val="000000"/>
        </w:rPr>
        <w:t xml:space="preserve"> label; the FDA rejected Merck’s proposed language for the Warnings and Precautions section; and in correspondence surrounding the rejection, FDA officials stated that the “conflicting nature of the literature does not provide a clear path forward,” and “more time [would] be need[</w:t>
      </w:r>
      <w:proofErr w:type="spellStart"/>
      <w:r>
        <w:rPr>
          <w:color w:val="000000"/>
        </w:rPr>
        <w:t>ed</w:t>
      </w:r>
      <w:proofErr w:type="spellEnd"/>
      <w:r>
        <w:rPr>
          <w:color w:val="000000"/>
        </w:rPr>
        <w:t>] for [the] FDA to formulate a formal opinion on the issue of a precaution around these data.”</w:t>
      </w:r>
      <w:bookmarkStart w:id="292" w:name="co_footnoteReference_B01472041287330_ID0"/>
      <w:bookmarkEnd w:id="292"/>
      <w:r>
        <w:rPr>
          <w:color w:val="000000"/>
          <w:sz w:val="16"/>
          <w:szCs w:val="16"/>
        </w:rPr>
        <w:fldChar w:fldCharType="begin"/>
      </w:r>
      <w:r>
        <w:rPr>
          <w:color w:val="000000"/>
          <w:sz w:val="16"/>
          <w:szCs w:val="16"/>
        </w:rPr>
        <w:instrText xml:space="preserve">HYPERLINK "#co_footnote_B01472041287330_1" </w:instrText>
      </w:r>
      <w:r w:rsidR="00F61700">
        <w:rPr>
          <w:color w:val="000000"/>
          <w:sz w:val="16"/>
          <w:szCs w:val="16"/>
        </w:rPr>
      </w:r>
      <w:r>
        <w:rPr>
          <w:color w:val="000000"/>
          <w:sz w:val="16"/>
          <w:szCs w:val="16"/>
        </w:rPr>
        <w:fldChar w:fldCharType="separate"/>
      </w:r>
      <w:r>
        <w:rPr>
          <w:color w:val="000000"/>
          <w:sz w:val="16"/>
          <w:szCs w:val="16"/>
          <w:vertAlign w:val="superscript"/>
        </w:rPr>
        <w:t>146</w:t>
      </w:r>
      <w:r>
        <w:rPr>
          <w:color w:val="000000"/>
          <w:sz w:val="16"/>
          <w:szCs w:val="16"/>
        </w:rPr>
        <w:fldChar w:fldCharType="end"/>
      </w:r>
      <w:r>
        <w:rPr>
          <w:color w:val="000000"/>
        </w:rPr>
        <w:t xml:space="preserve"> Given this sequence of events, Merck argues that there is clear evidence that the FDA would not have approved a CBE submission adding an atypical-fracture warning to the Warnings and Precautions section.</w:t>
      </w:r>
    </w:p>
    <w:p w14:paraId="45A07106"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6AF81041" w14:textId="77777777">
        <w:tblPrEx>
          <w:tblCellMar>
            <w:top w:w="0" w:type="dxa"/>
            <w:left w:w="0" w:type="dxa"/>
            <w:bottom w:w="0" w:type="dxa"/>
            <w:right w:w="0" w:type="dxa"/>
          </w:tblCellMar>
        </w:tblPrEx>
        <w:tc>
          <w:tcPr>
            <w:tcW w:w="600" w:type="dxa"/>
            <w:tcBorders>
              <w:top w:val="nil"/>
              <w:left w:val="nil"/>
              <w:bottom w:val="nil"/>
              <w:right w:val="nil"/>
            </w:tcBorders>
          </w:tcPr>
          <w:bookmarkStart w:id="293" w:name="co_footnote_B01472041287330_1"/>
          <w:bookmarkEnd w:id="293"/>
          <w:p w14:paraId="371CCD52"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"#co_footnoteReference_B01472041287330_ID0" </w:instrText>
            </w:r>
            <w:r w:rsidR="00F61700">
              <w:rPr>
                <w:color w:val="000000"/>
              </w:rPr>
            </w:r>
            <w:r>
              <w:rPr>
                <w:color w:val="000000"/>
              </w:rPr>
              <w:fldChar w:fldCharType="separate"/>
            </w:r>
            <w:r>
              <w:rPr>
                <w:color w:val="000000"/>
                <w:vertAlign w:val="superscript"/>
              </w:rPr>
              <w:t>146</w:t>
            </w:r>
            <w:r>
              <w:rPr>
                <w:color w:val="000000"/>
              </w:rPr>
              <w:fldChar w:fldCharType="end"/>
            </w:r>
          </w:p>
          <w:p w14:paraId="66FD89F8"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27A2DE5D" w14:textId="77777777" w:rsidR="00793DC4" w:rsidRDefault="00793DC4">
            <w:pPr>
              <w:widowControl w:val="0"/>
              <w:autoSpaceDE w:val="0"/>
              <w:autoSpaceDN w:val="0"/>
              <w:adjustRightInd w:val="0"/>
              <w:jc w:val="both"/>
              <w:rPr>
                <w:color w:val="000000"/>
                <w:sz w:val="18"/>
                <w:szCs w:val="18"/>
              </w:rPr>
            </w:pPr>
            <w:r>
              <w:rPr>
                <w:color w:val="000000"/>
                <w:sz w:val="18"/>
                <w:szCs w:val="18"/>
              </w:rPr>
              <w:t xml:space="preserve">A 1971; </w:t>
            </w:r>
            <w:r>
              <w:rPr>
                <w:i/>
                <w:iCs/>
                <w:color w:val="000000"/>
                <w:sz w:val="18"/>
                <w:szCs w:val="18"/>
              </w:rPr>
              <w:t>see also</w:t>
            </w:r>
            <w:r>
              <w:rPr>
                <w:color w:val="000000"/>
                <w:sz w:val="18"/>
                <w:szCs w:val="18"/>
              </w:rPr>
              <w:t xml:space="preserve"> A 1498.</w:t>
            </w:r>
          </w:p>
          <w:p w14:paraId="2E396583" w14:textId="77777777" w:rsidR="00793DC4" w:rsidRDefault="00793DC4">
            <w:pPr>
              <w:widowControl w:val="0"/>
              <w:autoSpaceDE w:val="0"/>
              <w:autoSpaceDN w:val="0"/>
              <w:adjustRightInd w:val="0"/>
              <w:jc w:val="both"/>
              <w:rPr>
                <w:color w:val="000000"/>
                <w:sz w:val="18"/>
                <w:szCs w:val="18"/>
              </w:rPr>
            </w:pPr>
          </w:p>
        </w:tc>
      </w:tr>
    </w:tbl>
    <w:p w14:paraId="49947A42" w14:textId="77777777" w:rsidR="00793DC4" w:rsidRDefault="00793DC4">
      <w:pPr>
        <w:widowControl w:val="0"/>
        <w:autoSpaceDE w:val="0"/>
        <w:autoSpaceDN w:val="0"/>
        <w:adjustRightInd w:val="0"/>
        <w:jc w:val="both"/>
        <w:rPr>
          <w:color w:val="000000"/>
        </w:rPr>
      </w:pPr>
    </w:p>
    <w:p w14:paraId="60231E80" w14:textId="77777777" w:rsidR="00793DC4" w:rsidRDefault="00793DC4">
      <w:pPr>
        <w:widowControl w:val="0"/>
        <w:autoSpaceDE w:val="0"/>
        <w:autoSpaceDN w:val="0"/>
        <w:adjustRightInd w:val="0"/>
        <w:jc w:val="both"/>
        <w:rPr>
          <w:color w:val="000000"/>
        </w:rPr>
      </w:pPr>
      <w:r>
        <w:rPr>
          <w:color w:val="000000"/>
        </w:rPr>
        <w:t xml:space="preserve">It is undisputed that the FDA was aware of the possible link between </w:t>
      </w:r>
      <w:hyperlink r:id="rId413" w:history="1">
        <w:r>
          <w:rPr>
            <w:color w:val="000000"/>
          </w:rPr>
          <w:t>Fosamax</w:t>
        </w:r>
      </w:hyperlink>
      <w:r>
        <w:rPr>
          <w:color w:val="000000"/>
        </w:rPr>
        <w:t xml:space="preserve"> and atypical fractures well before September 2010. In March 2008, Merck submitted a comprehensive safety update to the FDA reporting the existence and results of numerous studies suggesting just such an association. The FDA responded that it was concerned about this “safety signal,” but did not require Merck to update its label.</w:t>
      </w:r>
      <w:bookmarkStart w:id="294" w:name="co_footnoteReference_B01482041287330_ID0"/>
      <w:bookmarkEnd w:id="294"/>
      <w:r>
        <w:rPr>
          <w:color w:val="000000"/>
          <w:sz w:val="16"/>
          <w:szCs w:val="16"/>
        </w:rPr>
        <w:fldChar w:fldCharType="begin"/>
      </w:r>
      <w:r>
        <w:rPr>
          <w:color w:val="000000"/>
          <w:sz w:val="16"/>
          <w:szCs w:val="16"/>
        </w:rPr>
        <w:instrText xml:space="preserve">HYPERLINK "#co_footnote_B01482041287330_1" </w:instrText>
      </w:r>
      <w:r w:rsidR="00F61700">
        <w:rPr>
          <w:color w:val="000000"/>
          <w:sz w:val="16"/>
          <w:szCs w:val="16"/>
        </w:rPr>
      </w:r>
      <w:r>
        <w:rPr>
          <w:color w:val="000000"/>
          <w:sz w:val="16"/>
          <w:szCs w:val="16"/>
        </w:rPr>
        <w:fldChar w:fldCharType="separate"/>
      </w:r>
      <w:r>
        <w:rPr>
          <w:color w:val="000000"/>
          <w:sz w:val="16"/>
          <w:szCs w:val="16"/>
          <w:vertAlign w:val="superscript"/>
        </w:rPr>
        <w:t>147</w:t>
      </w:r>
      <w:r>
        <w:rPr>
          <w:color w:val="000000"/>
          <w:sz w:val="16"/>
          <w:szCs w:val="16"/>
        </w:rPr>
        <w:fldChar w:fldCharType="end"/>
      </w:r>
      <w:r>
        <w:rPr>
          <w:color w:val="000000"/>
        </w:rPr>
        <w:t xml:space="preserve"> In March 2010, after reviewing the data submitted by Merck and other manufacturers, the FDA stated that the data reviewed to date had “not shown a clear connection between bisphosphonate use and a risk of atypical </w:t>
      </w:r>
      <w:hyperlink r:id="rId414" w:history="1">
        <w:proofErr w:type="spellStart"/>
        <w:r>
          <w:rPr>
            <w:color w:val="000000"/>
          </w:rPr>
          <w:t>subtrochanteric</w:t>
        </w:r>
        <w:proofErr w:type="spellEnd"/>
        <w:r>
          <w:rPr>
            <w:color w:val="000000"/>
          </w:rPr>
          <w:t xml:space="preserve"> femur fractures</w:t>
        </w:r>
      </w:hyperlink>
      <w:r>
        <w:rPr>
          <w:color w:val="000000"/>
        </w:rPr>
        <w:t>.”</w:t>
      </w:r>
      <w:bookmarkStart w:id="295" w:name="co_footnoteReference_B01492041287330_ID0"/>
      <w:bookmarkEnd w:id="295"/>
      <w:r>
        <w:rPr>
          <w:color w:val="000000"/>
          <w:sz w:val="16"/>
          <w:szCs w:val="16"/>
        </w:rPr>
        <w:fldChar w:fldCharType="begin"/>
      </w:r>
      <w:r>
        <w:rPr>
          <w:color w:val="000000"/>
          <w:sz w:val="16"/>
          <w:szCs w:val="16"/>
        </w:rPr>
        <w:instrText xml:space="preserve">HYPERLINK "#co_footnote_B01492041287330_1" </w:instrText>
      </w:r>
      <w:r w:rsidR="00F61700">
        <w:rPr>
          <w:color w:val="000000"/>
          <w:sz w:val="16"/>
          <w:szCs w:val="16"/>
        </w:rPr>
      </w:r>
      <w:r>
        <w:rPr>
          <w:color w:val="000000"/>
          <w:sz w:val="16"/>
          <w:szCs w:val="16"/>
        </w:rPr>
        <w:fldChar w:fldCharType="separate"/>
      </w:r>
      <w:r>
        <w:rPr>
          <w:color w:val="000000"/>
          <w:sz w:val="16"/>
          <w:szCs w:val="16"/>
          <w:vertAlign w:val="superscript"/>
        </w:rPr>
        <w:t>148</w:t>
      </w:r>
      <w:r>
        <w:rPr>
          <w:color w:val="000000"/>
          <w:sz w:val="16"/>
          <w:szCs w:val="16"/>
        </w:rPr>
        <w:fldChar w:fldCharType="end"/>
      </w:r>
      <w:r>
        <w:rPr>
          <w:color w:val="000000"/>
        </w:rPr>
        <w:t xml:space="preserve"> And in October 2010, an FDA Deputy Director stated that the September 2010 task force report was the finding that for the first time made the FDA “confident” that atypical femur fractures are “potentially more closely related to” bisphosphonates “than [the FDA] previously had evidence for.”</w:t>
      </w:r>
      <w:bookmarkStart w:id="296" w:name="co_footnoteReference_B01502041287330_ID0"/>
      <w:bookmarkEnd w:id="296"/>
      <w:r>
        <w:rPr>
          <w:color w:val="000000"/>
          <w:sz w:val="16"/>
          <w:szCs w:val="16"/>
        </w:rPr>
        <w:fldChar w:fldCharType="begin"/>
      </w:r>
      <w:r>
        <w:rPr>
          <w:color w:val="000000"/>
          <w:sz w:val="16"/>
          <w:szCs w:val="16"/>
        </w:rPr>
        <w:instrText xml:space="preserve">HYPERLINK "#co_footnote_B01502041287330_1" </w:instrText>
      </w:r>
      <w:r w:rsidR="00F61700">
        <w:rPr>
          <w:color w:val="000000"/>
          <w:sz w:val="16"/>
          <w:szCs w:val="16"/>
        </w:rPr>
      </w:r>
      <w:r>
        <w:rPr>
          <w:color w:val="000000"/>
          <w:sz w:val="16"/>
          <w:szCs w:val="16"/>
        </w:rPr>
        <w:fldChar w:fldCharType="separate"/>
      </w:r>
      <w:r>
        <w:rPr>
          <w:color w:val="000000"/>
          <w:sz w:val="16"/>
          <w:szCs w:val="16"/>
          <w:vertAlign w:val="superscript"/>
        </w:rPr>
        <w:t>149</w:t>
      </w:r>
      <w:r>
        <w:rPr>
          <w:color w:val="000000"/>
          <w:sz w:val="16"/>
          <w:szCs w:val="16"/>
        </w:rPr>
        <w:fldChar w:fldCharType="end"/>
      </w:r>
      <w:r>
        <w:rPr>
          <w:color w:val="000000"/>
        </w:rPr>
        <w:t xml:space="preserve"> Merck argues that this evidence demonstrates that prior to September 2010, the FDA would have rejected </w:t>
      </w:r>
      <w:r>
        <w:rPr>
          <w:i/>
          <w:iCs/>
          <w:color w:val="000000"/>
        </w:rPr>
        <w:t>any</w:t>
      </w:r>
      <w:r>
        <w:rPr>
          <w:color w:val="000000"/>
        </w:rPr>
        <w:t xml:space="preserve"> CBE application that attempted to add an atypical fractures warning to the </w:t>
      </w:r>
      <w:hyperlink r:id="rId415" w:history="1">
        <w:r>
          <w:rPr>
            <w:color w:val="000000"/>
          </w:rPr>
          <w:t>Fosamax</w:t>
        </w:r>
      </w:hyperlink>
      <w:r>
        <w:rPr>
          <w:color w:val="000000"/>
        </w:rPr>
        <w:t xml:space="preserve"> label because the FDA had concluded that there was no reasonable evidence of a causal link.</w:t>
      </w:r>
    </w:p>
    <w:p w14:paraId="3E55FD40"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0B9461CE" w14:textId="77777777">
        <w:tblPrEx>
          <w:tblCellMar>
            <w:top w:w="0" w:type="dxa"/>
            <w:left w:w="0" w:type="dxa"/>
            <w:bottom w:w="0" w:type="dxa"/>
            <w:right w:w="0" w:type="dxa"/>
          </w:tblCellMar>
        </w:tblPrEx>
        <w:tc>
          <w:tcPr>
            <w:tcW w:w="600" w:type="dxa"/>
            <w:tcBorders>
              <w:top w:val="nil"/>
              <w:left w:val="nil"/>
              <w:bottom w:val="nil"/>
              <w:right w:val="nil"/>
            </w:tcBorders>
          </w:tcPr>
          <w:bookmarkStart w:id="297" w:name="co_footnote_B01482041287330_1"/>
          <w:bookmarkEnd w:id="297"/>
          <w:p w14:paraId="03E1578C"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"#co_footnoteReference_B01482041287330_ID0" </w:instrText>
            </w:r>
            <w:r w:rsidR="00F61700">
              <w:rPr>
                <w:color w:val="000000"/>
              </w:rPr>
            </w:r>
            <w:r>
              <w:rPr>
                <w:color w:val="000000"/>
              </w:rPr>
              <w:fldChar w:fldCharType="separate"/>
            </w:r>
            <w:r>
              <w:rPr>
                <w:color w:val="000000"/>
                <w:vertAlign w:val="superscript"/>
              </w:rPr>
              <w:t>147</w:t>
            </w:r>
            <w:r>
              <w:rPr>
                <w:color w:val="000000"/>
              </w:rPr>
              <w:fldChar w:fldCharType="end"/>
            </w:r>
          </w:p>
          <w:p w14:paraId="76E83A6C"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461633A6" w14:textId="77777777" w:rsidR="00793DC4" w:rsidRDefault="00793DC4">
            <w:pPr>
              <w:widowControl w:val="0"/>
              <w:autoSpaceDE w:val="0"/>
              <w:autoSpaceDN w:val="0"/>
              <w:adjustRightInd w:val="0"/>
              <w:jc w:val="both"/>
              <w:rPr>
                <w:color w:val="000000"/>
                <w:sz w:val="18"/>
                <w:szCs w:val="18"/>
              </w:rPr>
            </w:pPr>
            <w:r>
              <w:rPr>
                <w:color w:val="000000"/>
                <w:sz w:val="18"/>
                <w:szCs w:val="18"/>
              </w:rPr>
              <w:t>A 1935-36.</w:t>
            </w:r>
          </w:p>
          <w:p w14:paraId="5CC84F3B" w14:textId="77777777" w:rsidR="00793DC4" w:rsidRDefault="00793DC4">
            <w:pPr>
              <w:widowControl w:val="0"/>
              <w:autoSpaceDE w:val="0"/>
              <w:autoSpaceDN w:val="0"/>
              <w:adjustRightInd w:val="0"/>
              <w:jc w:val="both"/>
              <w:rPr>
                <w:color w:val="000000"/>
                <w:sz w:val="18"/>
                <w:szCs w:val="18"/>
              </w:rPr>
            </w:pPr>
          </w:p>
        </w:tc>
      </w:tr>
    </w:tbl>
    <w:p w14:paraId="5678C75E"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4FC437BF" w14:textId="77777777">
        <w:tblPrEx>
          <w:tblCellMar>
            <w:top w:w="0" w:type="dxa"/>
            <w:left w:w="0" w:type="dxa"/>
            <w:bottom w:w="0" w:type="dxa"/>
            <w:right w:w="0" w:type="dxa"/>
          </w:tblCellMar>
        </w:tblPrEx>
        <w:tc>
          <w:tcPr>
            <w:tcW w:w="600" w:type="dxa"/>
            <w:tcBorders>
              <w:top w:val="nil"/>
              <w:left w:val="nil"/>
              <w:bottom w:val="nil"/>
              <w:right w:val="nil"/>
            </w:tcBorders>
          </w:tcPr>
          <w:bookmarkStart w:id="298" w:name="co_footnote_B01492041287330_1"/>
          <w:bookmarkEnd w:id="298"/>
          <w:p w14:paraId="72854F71"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"#co_footnoteReference_B01492041287330_ID0" </w:instrText>
            </w:r>
            <w:r w:rsidR="00F61700">
              <w:rPr>
                <w:color w:val="000000"/>
              </w:rPr>
            </w:r>
            <w:r>
              <w:rPr>
                <w:color w:val="000000"/>
              </w:rPr>
              <w:fldChar w:fldCharType="separate"/>
            </w:r>
            <w:r>
              <w:rPr>
                <w:color w:val="000000"/>
                <w:vertAlign w:val="superscript"/>
              </w:rPr>
              <w:t>148</w:t>
            </w:r>
            <w:r>
              <w:rPr>
                <w:color w:val="000000"/>
              </w:rPr>
              <w:fldChar w:fldCharType="end"/>
            </w:r>
          </w:p>
          <w:p w14:paraId="7F458A46"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29D692BF" w14:textId="77777777" w:rsidR="00793DC4" w:rsidRDefault="00793DC4">
            <w:pPr>
              <w:widowControl w:val="0"/>
              <w:autoSpaceDE w:val="0"/>
              <w:autoSpaceDN w:val="0"/>
              <w:adjustRightInd w:val="0"/>
              <w:jc w:val="both"/>
              <w:rPr>
                <w:color w:val="000000"/>
                <w:sz w:val="18"/>
                <w:szCs w:val="18"/>
              </w:rPr>
            </w:pPr>
            <w:r>
              <w:rPr>
                <w:color w:val="000000"/>
                <w:sz w:val="18"/>
                <w:szCs w:val="18"/>
              </w:rPr>
              <w:t>A 1508.</w:t>
            </w:r>
          </w:p>
          <w:p w14:paraId="27C871D8" w14:textId="77777777" w:rsidR="00793DC4" w:rsidRDefault="00793DC4">
            <w:pPr>
              <w:widowControl w:val="0"/>
              <w:autoSpaceDE w:val="0"/>
              <w:autoSpaceDN w:val="0"/>
              <w:adjustRightInd w:val="0"/>
              <w:jc w:val="both"/>
              <w:rPr>
                <w:color w:val="000000"/>
                <w:sz w:val="18"/>
                <w:szCs w:val="18"/>
              </w:rPr>
            </w:pPr>
          </w:p>
        </w:tc>
      </w:tr>
    </w:tbl>
    <w:p w14:paraId="359B70C8"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5EAD2101" w14:textId="77777777">
        <w:tblPrEx>
          <w:tblCellMar>
            <w:top w:w="0" w:type="dxa"/>
            <w:left w:w="0" w:type="dxa"/>
            <w:bottom w:w="0" w:type="dxa"/>
            <w:right w:w="0" w:type="dxa"/>
          </w:tblCellMar>
        </w:tblPrEx>
        <w:tc>
          <w:tcPr>
            <w:tcW w:w="600" w:type="dxa"/>
            <w:tcBorders>
              <w:top w:val="nil"/>
              <w:left w:val="nil"/>
              <w:bottom w:val="nil"/>
              <w:right w:val="nil"/>
            </w:tcBorders>
          </w:tcPr>
          <w:bookmarkStart w:id="299" w:name="co_footnote_B01502041287330_1"/>
          <w:bookmarkEnd w:id="299"/>
          <w:p w14:paraId="27426CB1"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"#co_footnoteReference_B01502041287330_ID0" </w:instrText>
            </w:r>
            <w:r w:rsidR="00F61700">
              <w:rPr>
                <w:color w:val="000000"/>
              </w:rPr>
            </w:r>
            <w:r>
              <w:rPr>
                <w:color w:val="000000"/>
              </w:rPr>
              <w:fldChar w:fldCharType="separate"/>
            </w:r>
            <w:r>
              <w:rPr>
                <w:color w:val="000000"/>
                <w:vertAlign w:val="superscript"/>
              </w:rPr>
              <w:t>149</w:t>
            </w:r>
            <w:r>
              <w:rPr>
                <w:color w:val="000000"/>
              </w:rPr>
              <w:fldChar w:fldCharType="end"/>
            </w:r>
          </w:p>
          <w:p w14:paraId="3A509971"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411B6768" w14:textId="77777777" w:rsidR="00793DC4" w:rsidRDefault="00793DC4">
            <w:pPr>
              <w:widowControl w:val="0"/>
              <w:autoSpaceDE w:val="0"/>
              <w:autoSpaceDN w:val="0"/>
              <w:adjustRightInd w:val="0"/>
              <w:jc w:val="both"/>
              <w:rPr>
                <w:color w:val="000000"/>
                <w:sz w:val="18"/>
                <w:szCs w:val="18"/>
              </w:rPr>
            </w:pPr>
            <w:r>
              <w:rPr>
                <w:color w:val="000000"/>
                <w:sz w:val="18"/>
                <w:szCs w:val="18"/>
              </w:rPr>
              <w:t>A 1396.</w:t>
            </w:r>
          </w:p>
          <w:p w14:paraId="535AD513" w14:textId="77777777" w:rsidR="00793DC4" w:rsidRDefault="00793DC4">
            <w:pPr>
              <w:widowControl w:val="0"/>
              <w:autoSpaceDE w:val="0"/>
              <w:autoSpaceDN w:val="0"/>
              <w:adjustRightInd w:val="0"/>
              <w:jc w:val="both"/>
              <w:rPr>
                <w:color w:val="000000"/>
                <w:sz w:val="18"/>
                <w:szCs w:val="18"/>
              </w:rPr>
            </w:pPr>
          </w:p>
        </w:tc>
      </w:tr>
    </w:tbl>
    <w:p w14:paraId="32D7FACE" w14:textId="77777777" w:rsidR="00793DC4" w:rsidRDefault="00793DC4">
      <w:pPr>
        <w:widowControl w:val="0"/>
        <w:autoSpaceDE w:val="0"/>
        <w:autoSpaceDN w:val="0"/>
        <w:adjustRightInd w:val="0"/>
        <w:jc w:val="both"/>
        <w:rPr>
          <w:color w:val="000000"/>
        </w:rPr>
      </w:pPr>
    </w:p>
    <w:p w14:paraId="22BD89B4" w14:textId="77777777" w:rsidR="00793DC4" w:rsidRDefault="00793DC4">
      <w:pPr>
        <w:widowControl w:val="0"/>
        <w:autoSpaceDE w:val="0"/>
        <w:autoSpaceDN w:val="0"/>
        <w:adjustRightInd w:val="0"/>
        <w:jc w:val="both"/>
        <w:rPr>
          <w:color w:val="000000"/>
          <w:sz w:val="16"/>
          <w:szCs w:val="16"/>
        </w:rPr>
      </w:pPr>
      <w:r>
        <w:rPr>
          <w:color w:val="000000"/>
        </w:rPr>
        <w:t xml:space="preserve">Merck also emphasizes the FDA’s April 2009 e-mail asking Merck to “hold off on the [Warnings and Precautions] language at this time” so that drug evaluators could “work with [the FDA’s Office of Surveillance and Epidemiology] and Merck to decide on language for a [Warnings and Precautions] atypical fracture language, </w:t>
      </w:r>
      <w:r>
        <w:rPr>
          <w:i/>
          <w:iCs/>
          <w:color w:val="000000"/>
        </w:rPr>
        <w:t>if it is warranted</w:t>
      </w:r>
      <w:r>
        <w:rPr>
          <w:color w:val="000000"/>
        </w:rPr>
        <w:t>.”</w:t>
      </w:r>
      <w:bookmarkStart w:id="300" w:name="co_footnoteReference_B01512041287330_ID0"/>
      <w:bookmarkEnd w:id="300"/>
      <w:r>
        <w:rPr>
          <w:color w:val="000000"/>
          <w:sz w:val="16"/>
          <w:szCs w:val="16"/>
        </w:rPr>
        <w:fldChar w:fldCharType="begin"/>
      </w:r>
      <w:r>
        <w:rPr>
          <w:color w:val="000000"/>
          <w:sz w:val="16"/>
          <w:szCs w:val="16"/>
        </w:rPr>
        <w:instrText xml:space="preserve">HYPERLINK "#co_footnote_B01512041287330_1" </w:instrText>
      </w:r>
      <w:r w:rsidR="00F61700">
        <w:rPr>
          <w:color w:val="000000"/>
          <w:sz w:val="16"/>
          <w:szCs w:val="16"/>
        </w:rPr>
      </w:r>
      <w:r>
        <w:rPr>
          <w:color w:val="000000"/>
          <w:sz w:val="16"/>
          <w:szCs w:val="16"/>
        </w:rPr>
        <w:fldChar w:fldCharType="separate"/>
      </w:r>
      <w:r>
        <w:rPr>
          <w:color w:val="000000"/>
          <w:sz w:val="16"/>
          <w:szCs w:val="16"/>
          <w:vertAlign w:val="superscript"/>
        </w:rPr>
        <w:t>150</w:t>
      </w:r>
      <w:r>
        <w:rPr>
          <w:color w:val="000000"/>
          <w:sz w:val="16"/>
          <w:szCs w:val="16"/>
        </w:rPr>
        <w:fldChar w:fldCharType="end"/>
      </w:r>
      <w:r>
        <w:rPr>
          <w:color w:val="000000"/>
        </w:rPr>
        <w:t xml:space="preserve"> After the task force issued its report in September 2010, by contrast, the FDA revised Merck’s proposed language and quickly approved a label amendment. Merck argues that the “only logical conclusion from this course of proceedings is that the FDA thought adequate scientific support showing a connection between bisphosphonates and atypical femur fractures was lacking in 2009 but present in 2010 after the [task force] report, </w:t>
      </w:r>
      <w:r>
        <w:rPr>
          <w:b/>
          <w:bCs/>
          <w:color w:val="000000"/>
        </w:rPr>
        <w:t>*297</w:t>
      </w:r>
      <w:r>
        <w:rPr>
          <w:color w:val="000000"/>
        </w:rPr>
        <w:t xml:space="preserve"> all of which accords with the FDA’s public statements on the issue.”</w:t>
      </w:r>
      <w:bookmarkStart w:id="301" w:name="co_footnoteReference_B01522041287330_ID0"/>
      <w:bookmarkEnd w:id="301"/>
      <w:r>
        <w:rPr>
          <w:color w:val="000000"/>
          <w:sz w:val="16"/>
          <w:szCs w:val="16"/>
        </w:rPr>
        <w:fldChar w:fldCharType="begin"/>
      </w:r>
      <w:r>
        <w:rPr>
          <w:color w:val="000000"/>
          <w:sz w:val="16"/>
          <w:szCs w:val="16"/>
        </w:rPr>
        <w:instrText xml:space="preserve">HYPERLINK "#co_footnote_B01522041287330_1" </w:instrText>
      </w:r>
      <w:r w:rsidR="00F61700">
        <w:rPr>
          <w:color w:val="000000"/>
          <w:sz w:val="16"/>
          <w:szCs w:val="16"/>
        </w:rPr>
      </w:r>
      <w:r>
        <w:rPr>
          <w:color w:val="000000"/>
          <w:sz w:val="16"/>
          <w:szCs w:val="16"/>
        </w:rPr>
        <w:fldChar w:fldCharType="separate"/>
      </w:r>
      <w:r>
        <w:rPr>
          <w:color w:val="000000"/>
          <w:sz w:val="16"/>
          <w:szCs w:val="16"/>
          <w:vertAlign w:val="superscript"/>
        </w:rPr>
        <w:t>151</w:t>
      </w:r>
      <w:r>
        <w:rPr>
          <w:color w:val="000000"/>
          <w:sz w:val="16"/>
          <w:szCs w:val="16"/>
        </w:rPr>
        <w:fldChar w:fldCharType="end"/>
      </w:r>
    </w:p>
    <w:p w14:paraId="5C588233"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38D56122" w14:textId="77777777">
        <w:tblPrEx>
          <w:tblCellMar>
            <w:top w:w="0" w:type="dxa"/>
            <w:left w:w="0" w:type="dxa"/>
            <w:bottom w:w="0" w:type="dxa"/>
            <w:right w:w="0" w:type="dxa"/>
          </w:tblCellMar>
        </w:tblPrEx>
        <w:tc>
          <w:tcPr>
            <w:tcW w:w="600" w:type="dxa"/>
            <w:tcBorders>
              <w:top w:val="nil"/>
              <w:left w:val="nil"/>
              <w:bottom w:val="nil"/>
              <w:right w:val="nil"/>
            </w:tcBorders>
          </w:tcPr>
          <w:bookmarkStart w:id="302" w:name="co_footnote_B01512041287330_1"/>
          <w:bookmarkEnd w:id="302"/>
          <w:p w14:paraId="4A87C720"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"#co_footnoteReference_B01512041287330_ID0" </w:instrText>
            </w:r>
            <w:r w:rsidR="00F61700">
              <w:rPr>
                <w:color w:val="000000"/>
              </w:rPr>
            </w:r>
            <w:r>
              <w:rPr>
                <w:color w:val="000000"/>
              </w:rPr>
              <w:fldChar w:fldCharType="separate"/>
            </w:r>
            <w:r>
              <w:rPr>
                <w:color w:val="000000"/>
                <w:vertAlign w:val="superscript"/>
              </w:rPr>
              <w:t>150</w:t>
            </w:r>
            <w:r>
              <w:rPr>
                <w:color w:val="000000"/>
              </w:rPr>
              <w:fldChar w:fldCharType="end"/>
            </w:r>
          </w:p>
          <w:p w14:paraId="55EF0658"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4DD33123" w14:textId="77777777" w:rsidR="00793DC4" w:rsidRDefault="00793DC4">
            <w:pPr>
              <w:widowControl w:val="0"/>
              <w:autoSpaceDE w:val="0"/>
              <w:autoSpaceDN w:val="0"/>
              <w:adjustRightInd w:val="0"/>
              <w:jc w:val="both"/>
              <w:rPr>
                <w:color w:val="000000"/>
                <w:sz w:val="18"/>
                <w:szCs w:val="18"/>
              </w:rPr>
            </w:pPr>
            <w:r>
              <w:rPr>
                <w:color w:val="000000"/>
                <w:sz w:val="18"/>
                <w:szCs w:val="18"/>
              </w:rPr>
              <w:t>A 1498 (emphasis added).</w:t>
            </w:r>
          </w:p>
          <w:p w14:paraId="3A10FD62" w14:textId="77777777" w:rsidR="00793DC4" w:rsidRDefault="00793DC4">
            <w:pPr>
              <w:widowControl w:val="0"/>
              <w:autoSpaceDE w:val="0"/>
              <w:autoSpaceDN w:val="0"/>
              <w:adjustRightInd w:val="0"/>
              <w:jc w:val="both"/>
              <w:rPr>
                <w:color w:val="000000"/>
                <w:sz w:val="18"/>
                <w:szCs w:val="18"/>
              </w:rPr>
            </w:pPr>
          </w:p>
        </w:tc>
      </w:tr>
    </w:tbl>
    <w:p w14:paraId="6CFC2898"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1D3B4202" w14:textId="77777777">
        <w:tblPrEx>
          <w:tblCellMar>
            <w:top w:w="0" w:type="dxa"/>
            <w:left w:w="0" w:type="dxa"/>
            <w:bottom w:w="0" w:type="dxa"/>
            <w:right w:w="0" w:type="dxa"/>
          </w:tblCellMar>
        </w:tblPrEx>
        <w:tc>
          <w:tcPr>
            <w:tcW w:w="600" w:type="dxa"/>
            <w:tcBorders>
              <w:top w:val="nil"/>
              <w:left w:val="nil"/>
              <w:bottom w:val="nil"/>
              <w:right w:val="nil"/>
            </w:tcBorders>
          </w:tcPr>
          <w:bookmarkStart w:id="303" w:name="co_footnote_B01522041287330_1"/>
          <w:bookmarkEnd w:id="303"/>
          <w:p w14:paraId="20AE47DB"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"#co_footnoteReference_B01522041287330_ID0" </w:instrText>
            </w:r>
            <w:r w:rsidR="00F61700">
              <w:rPr>
                <w:color w:val="000000"/>
              </w:rPr>
            </w:r>
            <w:r>
              <w:rPr>
                <w:color w:val="000000"/>
              </w:rPr>
              <w:fldChar w:fldCharType="separate"/>
            </w:r>
            <w:r>
              <w:rPr>
                <w:color w:val="000000"/>
                <w:vertAlign w:val="superscript"/>
              </w:rPr>
              <w:t>151</w:t>
            </w:r>
            <w:r>
              <w:rPr>
                <w:color w:val="000000"/>
              </w:rPr>
              <w:fldChar w:fldCharType="end"/>
            </w:r>
          </w:p>
          <w:p w14:paraId="5907611E"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0B259D75" w14:textId="77777777" w:rsidR="00793DC4" w:rsidRDefault="00793DC4">
            <w:pPr>
              <w:widowControl w:val="0"/>
              <w:autoSpaceDE w:val="0"/>
              <w:autoSpaceDN w:val="0"/>
              <w:adjustRightInd w:val="0"/>
              <w:jc w:val="both"/>
              <w:rPr>
                <w:color w:val="000000"/>
                <w:sz w:val="18"/>
                <w:szCs w:val="18"/>
              </w:rPr>
            </w:pPr>
            <w:r>
              <w:rPr>
                <w:color w:val="000000"/>
                <w:sz w:val="18"/>
                <w:szCs w:val="18"/>
              </w:rPr>
              <w:t>Merck Br. 50.</w:t>
            </w:r>
          </w:p>
          <w:p w14:paraId="3D165803" w14:textId="77777777" w:rsidR="00793DC4" w:rsidRDefault="00793DC4">
            <w:pPr>
              <w:widowControl w:val="0"/>
              <w:autoSpaceDE w:val="0"/>
              <w:autoSpaceDN w:val="0"/>
              <w:adjustRightInd w:val="0"/>
              <w:jc w:val="both"/>
              <w:rPr>
                <w:color w:val="000000"/>
                <w:sz w:val="18"/>
                <w:szCs w:val="18"/>
              </w:rPr>
            </w:pPr>
          </w:p>
        </w:tc>
      </w:tr>
    </w:tbl>
    <w:p w14:paraId="0560152E" w14:textId="77777777" w:rsidR="00793DC4" w:rsidRDefault="00793DC4">
      <w:pPr>
        <w:widowControl w:val="0"/>
        <w:autoSpaceDE w:val="0"/>
        <w:autoSpaceDN w:val="0"/>
        <w:adjustRightInd w:val="0"/>
        <w:jc w:val="both"/>
        <w:rPr>
          <w:color w:val="000000"/>
        </w:rPr>
      </w:pPr>
    </w:p>
    <w:p w14:paraId="52194001" w14:textId="77777777" w:rsidR="00793DC4" w:rsidRDefault="00793DC4">
      <w:pPr>
        <w:widowControl w:val="0"/>
        <w:autoSpaceDE w:val="0"/>
        <w:autoSpaceDN w:val="0"/>
        <w:adjustRightInd w:val="0"/>
        <w:jc w:val="both"/>
        <w:rPr>
          <w:color w:val="000000"/>
        </w:rPr>
      </w:pPr>
      <w:r>
        <w:rPr>
          <w:color w:val="000000"/>
        </w:rPr>
        <w:t xml:space="preserve">Merck also rejects Plaintiffs’ theory that the FDA rejected Merck’s proposed warning based on a “language quibble” about </w:t>
      </w:r>
      <w:hyperlink r:id="rId416" w:history="1">
        <w:r>
          <w:rPr>
            <w:color w:val="000000"/>
          </w:rPr>
          <w:t>stress fractures</w:t>
        </w:r>
      </w:hyperlink>
      <w:r>
        <w:rPr>
          <w:color w:val="000000"/>
        </w:rPr>
        <w:t xml:space="preserve"> rather than a fundamental disagreement about the science. Merck’s strongest argument for summary judgment is that Plaintiffs’ theory of the case rests on an unreasonable inference: that the FDA (1) recognized a need to include risk information about atypical femur fractures and therefore would have accepted a properly-worded warning about such fractures, but (2) was so troubled by the “</w:t>
      </w:r>
      <w:hyperlink r:id="rId417" w:history="1">
        <w:r>
          <w:rPr>
            <w:color w:val="000000"/>
          </w:rPr>
          <w:t>stress fracture</w:t>
        </w:r>
      </w:hyperlink>
      <w:r>
        <w:rPr>
          <w:color w:val="000000"/>
        </w:rPr>
        <w:t>” language that it “preferred to deprive physicians of that risk information rather than allow Merck to add its proposed language or authorize inclusion of revised language.”</w:t>
      </w:r>
      <w:bookmarkStart w:id="304" w:name="co_footnoteReference_B01532041287330_ID0"/>
      <w:bookmarkEnd w:id="304"/>
      <w:r>
        <w:rPr>
          <w:color w:val="000000"/>
          <w:sz w:val="16"/>
          <w:szCs w:val="16"/>
        </w:rPr>
        <w:fldChar w:fldCharType="begin"/>
      </w:r>
      <w:r>
        <w:rPr>
          <w:color w:val="000000"/>
          <w:sz w:val="16"/>
          <w:szCs w:val="16"/>
        </w:rPr>
        <w:instrText xml:space="preserve">HYPERLINK "#co_footnote_B01532041287330_1" </w:instrText>
      </w:r>
      <w:r w:rsidR="00F61700">
        <w:rPr>
          <w:color w:val="000000"/>
          <w:sz w:val="16"/>
          <w:szCs w:val="16"/>
        </w:rPr>
      </w:r>
      <w:r>
        <w:rPr>
          <w:color w:val="000000"/>
          <w:sz w:val="16"/>
          <w:szCs w:val="16"/>
        </w:rPr>
        <w:fldChar w:fldCharType="separate"/>
      </w:r>
      <w:r>
        <w:rPr>
          <w:color w:val="000000"/>
          <w:sz w:val="16"/>
          <w:szCs w:val="16"/>
          <w:vertAlign w:val="superscript"/>
        </w:rPr>
        <w:t>152</w:t>
      </w:r>
      <w:r>
        <w:rPr>
          <w:color w:val="000000"/>
          <w:sz w:val="16"/>
          <w:szCs w:val="16"/>
        </w:rPr>
        <w:fldChar w:fldCharType="end"/>
      </w:r>
      <w:r>
        <w:rPr>
          <w:color w:val="000000"/>
        </w:rPr>
        <w:t xml:space="preserve"> Merck buttresses this argument by pointing to statutory language requiring the FDA to notify a drug manufacturer when it “becomes aware of new safety information that [it] believes should be included in the labeling of the drug” and to “initiate discussions to reach agreement on whether the labeling for the drug should be modified to reflect the new safety information” if it is dissatisfied with the manufacturer’s response.</w:t>
      </w:r>
      <w:bookmarkStart w:id="305" w:name="co_footnoteReference_B01542041287330_ID0"/>
      <w:bookmarkEnd w:id="305"/>
      <w:r>
        <w:rPr>
          <w:color w:val="000000"/>
          <w:sz w:val="16"/>
          <w:szCs w:val="16"/>
        </w:rPr>
        <w:fldChar w:fldCharType="begin"/>
      </w:r>
      <w:r>
        <w:rPr>
          <w:color w:val="000000"/>
          <w:sz w:val="16"/>
          <w:szCs w:val="16"/>
        </w:rPr>
        <w:instrText xml:space="preserve">HYPERLINK "#co_footnote_B01542041287330_1" </w:instrText>
      </w:r>
      <w:r w:rsidR="00F61700">
        <w:rPr>
          <w:color w:val="000000"/>
          <w:sz w:val="16"/>
          <w:szCs w:val="16"/>
        </w:rPr>
      </w:r>
      <w:r>
        <w:rPr>
          <w:color w:val="000000"/>
          <w:sz w:val="16"/>
          <w:szCs w:val="16"/>
        </w:rPr>
        <w:fldChar w:fldCharType="separate"/>
      </w:r>
      <w:r>
        <w:rPr>
          <w:color w:val="000000"/>
          <w:sz w:val="16"/>
          <w:szCs w:val="16"/>
          <w:vertAlign w:val="superscript"/>
        </w:rPr>
        <w:t>153</w:t>
      </w:r>
      <w:r>
        <w:rPr>
          <w:color w:val="000000"/>
          <w:sz w:val="16"/>
          <w:szCs w:val="16"/>
        </w:rPr>
        <w:fldChar w:fldCharType="end"/>
      </w:r>
      <w:r>
        <w:rPr>
          <w:color w:val="000000"/>
        </w:rPr>
        <w:t xml:space="preserve"> Merck points out that if the FDA actually thought that an atypical-fracture warning was warranted, it could have proposed revisions rather than simply rejecting Merck’s proposal. The FDA engaged in just such a revision process in 2010 after it directed Merck to add a warning and Merck responded by adding </w:t>
      </w:r>
      <w:hyperlink r:id="rId418" w:history="1">
        <w:r>
          <w:rPr>
            <w:color w:val="000000"/>
          </w:rPr>
          <w:t>stress-fracture</w:t>
        </w:r>
      </w:hyperlink>
      <w:r>
        <w:rPr>
          <w:color w:val="000000"/>
        </w:rPr>
        <w:t xml:space="preserve"> language. The fact that the FDA did not similarly reach out in 2009, Merck says, demonstrates that it would not have accepted Plaintiffs’ proposed warning prior to the issuance of the task force report in September 2010.</w:t>
      </w:r>
    </w:p>
    <w:p w14:paraId="2DB94C58"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6510EBFD" w14:textId="77777777">
        <w:tblPrEx>
          <w:tblCellMar>
            <w:top w:w="0" w:type="dxa"/>
            <w:left w:w="0" w:type="dxa"/>
            <w:bottom w:w="0" w:type="dxa"/>
            <w:right w:w="0" w:type="dxa"/>
          </w:tblCellMar>
        </w:tblPrEx>
        <w:tc>
          <w:tcPr>
            <w:tcW w:w="600" w:type="dxa"/>
            <w:tcBorders>
              <w:top w:val="nil"/>
              <w:left w:val="nil"/>
              <w:bottom w:val="nil"/>
              <w:right w:val="nil"/>
            </w:tcBorders>
          </w:tcPr>
          <w:bookmarkStart w:id="306" w:name="co_footnote_B01532041287330_1"/>
          <w:bookmarkEnd w:id="306"/>
          <w:p w14:paraId="38B2879D"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"#co_footnoteReference_B01532041287330_ID0" </w:instrText>
            </w:r>
            <w:r w:rsidR="00F61700">
              <w:rPr>
                <w:color w:val="000000"/>
              </w:rPr>
            </w:r>
            <w:r>
              <w:rPr>
                <w:color w:val="000000"/>
              </w:rPr>
              <w:fldChar w:fldCharType="separate"/>
            </w:r>
            <w:r>
              <w:rPr>
                <w:color w:val="000000"/>
                <w:vertAlign w:val="superscript"/>
              </w:rPr>
              <w:t>152</w:t>
            </w:r>
            <w:r>
              <w:rPr>
                <w:color w:val="000000"/>
              </w:rPr>
              <w:fldChar w:fldCharType="end"/>
            </w:r>
          </w:p>
          <w:p w14:paraId="34095BFE"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661ADD76" w14:textId="77777777" w:rsidR="00793DC4" w:rsidRDefault="00793DC4">
            <w:pPr>
              <w:widowControl w:val="0"/>
              <w:autoSpaceDE w:val="0"/>
              <w:autoSpaceDN w:val="0"/>
              <w:adjustRightInd w:val="0"/>
              <w:jc w:val="both"/>
              <w:rPr>
                <w:color w:val="000000"/>
                <w:sz w:val="18"/>
                <w:szCs w:val="18"/>
              </w:rPr>
            </w:pPr>
            <w:r>
              <w:rPr>
                <w:i/>
                <w:iCs/>
                <w:color w:val="000000"/>
                <w:sz w:val="18"/>
                <w:szCs w:val="18"/>
              </w:rPr>
              <w:t>Id</w:t>
            </w:r>
            <w:r>
              <w:rPr>
                <w:color w:val="000000"/>
                <w:sz w:val="18"/>
                <w:szCs w:val="18"/>
              </w:rPr>
              <w:t>. 48.</w:t>
            </w:r>
          </w:p>
          <w:p w14:paraId="2FAEEEEE" w14:textId="77777777" w:rsidR="00793DC4" w:rsidRDefault="00793DC4">
            <w:pPr>
              <w:widowControl w:val="0"/>
              <w:autoSpaceDE w:val="0"/>
              <w:autoSpaceDN w:val="0"/>
              <w:adjustRightInd w:val="0"/>
              <w:jc w:val="both"/>
              <w:rPr>
                <w:color w:val="000000"/>
                <w:sz w:val="18"/>
                <w:szCs w:val="18"/>
              </w:rPr>
            </w:pPr>
          </w:p>
        </w:tc>
      </w:tr>
    </w:tbl>
    <w:p w14:paraId="553A2658"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675FAC43" w14:textId="77777777">
        <w:tblPrEx>
          <w:tblCellMar>
            <w:top w:w="0" w:type="dxa"/>
            <w:left w:w="0" w:type="dxa"/>
            <w:bottom w:w="0" w:type="dxa"/>
            <w:right w:w="0" w:type="dxa"/>
          </w:tblCellMar>
        </w:tblPrEx>
        <w:tc>
          <w:tcPr>
            <w:tcW w:w="600" w:type="dxa"/>
            <w:tcBorders>
              <w:top w:val="nil"/>
              <w:left w:val="nil"/>
              <w:bottom w:val="nil"/>
              <w:right w:val="nil"/>
            </w:tcBorders>
          </w:tcPr>
          <w:bookmarkStart w:id="307" w:name="co_footnote_B01542041287330_1"/>
          <w:bookmarkEnd w:id="307"/>
          <w:p w14:paraId="32DDEB37"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"#co_footnoteReference_B01542041287330_ID0" </w:instrText>
            </w:r>
            <w:r w:rsidR="00F61700">
              <w:rPr>
                <w:color w:val="000000"/>
              </w:rPr>
            </w:r>
            <w:r>
              <w:rPr>
                <w:color w:val="000000"/>
              </w:rPr>
              <w:fldChar w:fldCharType="separate"/>
            </w:r>
            <w:r>
              <w:rPr>
                <w:color w:val="000000"/>
                <w:vertAlign w:val="superscript"/>
              </w:rPr>
              <w:t>153</w:t>
            </w:r>
            <w:r>
              <w:rPr>
                <w:color w:val="000000"/>
              </w:rPr>
              <w:fldChar w:fldCharType="end"/>
            </w:r>
          </w:p>
          <w:p w14:paraId="06957061"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2E04F316" w14:textId="77777777" w:rsidR="00793DC4" w:rsidRDefault="00793DC4">
            <w:pPr>
              <w:widowControl w:val="0"/>
              <w:autoSpaceDE w:val="0"/>
              <w:autoSpaceDN w:val="0"/>
              <w:adjustRightInd w:val="0"/>
              <w:jc w:val="both"/>
              <w:rPr>
                <w:color w:val="000000"/>
                <w:sz w:val="18"/>
                <w:szCs w:val="18"/>
              </w:rPr>
            </w:pPr>
            <w:hyperlink r:id="rId419" w:history="1">
              <w:r>
                <w:rPr>
                  <w:color w:val="000000"/>
                  <w:sz w:val="18"/>
                  <w:szCs w:val="18"/>
                </w:rPr>
                <w:t>21 U.S.C. §§ 355(o)(4)(A) and (C)</w:t>
              </w:r>
            </w:hyperlink>
            <w:r>
              <w:rPr>
                <w:color w:val="000000"/>
                <w:sz w:val="18"/>
                <w:szCs w:val="18"/>
              </w:rPr>
              <w:t>.</w:t>
            </w:r>
          </w:p>
          <w:p w14:paraId="0EEE4F2A" w14:textId="77777777" w:rsidR="00793DC4" w:rsidRDefault="00793DC4">
            <w:pPr>
              <w:widowControl w:val="0"/>
              <w:autoSpaceDE w:val="0"/>
              <w:autoSpaceDN w:val="0"/>
              <w:adjustRightInd w:val="0"/>
              <w:jc w:val="both"/>
              <w:rPr>
                <w:color w:val="000000"/>
                <w:sz w:val="18"/>
                <w:szCs w:val="18"/>
              </w:rPr>
            </w:pPr>
          </w:p>
        </w:tc>
      </w:tr>
    </w:tbl>
    <w:p w14:paraId="5C607468" w14:textId="77777777" w:rsidR="00793DC4" w:rsidRDefault="00793DC4">
      <w:pPr>
        <w:widowControl w:val="0"/>
        <w:autoSpaceDE w:val="0"/>
        <w:autoSpaceDN w:val="0"/>
        <w:adjustRightInd w:val="0"/>
        <w:jc w:val="both"/>
        <w:rPr>
          <w:color w:val="000000"/>
        </w:rPr>
      </w:pPr>
    </w:p>
    <w:p w14:paraId="7B5EB376" w14:textId="77777777" w:rsidR="00793DC4" w:rsidRDefault="00793DC4">
      <w:pPr>
        <w:widowControl w:val="0"/>
        <w:autoSpaceDE w:val="0"/>
        <w:autoSpaceDN w:val="0"/>
        <w:adjustRightInd w:val="0"/>
        <w:jc w:val="both"/>
        <w:rPr>
          <w:color w:val="000000"/>
        </w:rPr>
      </w:pPr>
      <w:r>
        <w:rPr>
          <w:color w:val="000000"/>
        </w:rPr>
        <w:t xml:space="preserve">We do not discount the force of this evidence or its potential to sway a jury. The problem for Merck, however, is that we are not assessing in the first instance whether there was clear evidence that the FDA would have rejected a change. We are instead trying to anticipate whether a reasonable juror, looking at all the evidence and trying to reconstruct a hypothetical event, could conclude that it is less than highly probable that the FDA would have rejected the change. And crucially for the Plaintiffs, we are drawing all reasonable inferences in their favor. This confers a unique advantage when the </w:t>
      </w:r>
      <w:proofErr w:type="spellStart"/>
      <w:r>
        <w:rPr>
          <w:color w:val="000000"/>
        </w:rPr>
        <w:t>factfinder’s</w:t>
      </w:r>
      <w:proofErr w:type="spellEnd"/>
      <w:r>
        <w:rPr>
          <w:color w:val="000000"/>
        </w:rPr>
        <w:t xml:space="preserve"> task is to guess what could have happened in a counterfactual setting.</w:t>
      </w:r>
    </w:p>
    <w:p w14:paraId="7B17B577" w14:textId="77777777" w:rsidR="00793DC4" w:rsidRDefault="00793DC4">
      <w:pPr>
        <w:widowControl w:val="0"/>
        <w:autoSpaceDE w:val="0"/>
        <w:autoSpaceDN w:val="0"/>
        <w:adjustRightInd w:val="0"/>
        <w:jc w:val="both"/>
        <w:rPr>
          <w:color w:val="000000"/>
        </w:rPr>
      </w:pPr>
      <w:r>
        <w:rPr>
          <w:color w:val="000000"/>
        </w:rPr>
        <w:t> </w:t>
      </w:r>
    </w:p>
    <w:p w14:paraId="5799A352" w14:textId="77777777" w:rsidR="00793DC4" w:rsidRDefault="00793DC4">
      <w:pPr>
        <w:widowControl w:val="0"/>
        <w:autoSpaceDE w:val="0"/>
        <w:autoSpaceDN w:val="0"/>
        <w:adjustRightInd w:val="0"/>
        <w:jc w:val="both"/>
        <w:rPr>
          <w:color w:val="000000"/>
        </w:rPr>
      </w:pPr>
      <w:r>
        <w:rPr>
          <w:color w:val="000000"/>
        </w:rPr>
        <w:t xml:space="preserve">Plaintiffs’ argument against preemption centers on two claims: first, that there was sufficient evidence of a causal link to allow Merck to unilaterally amend the </w:t>
      </w:r>
      <w:hyperlink r:id="rId420" w:history="1">
        <w:r>
          <w:rPr>
            <w:color w:val="000000"/>
          </w:rPr>
          <w:t>Fosamax</w:t>
        </w:r>
      </w:hyperlink>
      <w:r>
        <w:rPr>
          <w:color w:val="000000"/>
        </w:rPr>
        <w:t xml:space="preserve"> label via the CBE process; and second, that the FDA’s rejection of Merck’s PAS application was based on Merck’s misleading use of the term “</w:t>
      </w:r>
      <w:hyperlink r:id="rId421" w:history="1">
        <w:r>
          <w:rPr>
            <w:color w:val="000000"/>
          </w:rPr>
          <w:t>stress fractures</w:t>
        </w:r>
      </w:hyperlink>
      <w:r>
        <w:rPr>
          <w:color w:val="000000"/>
        </w:rPr>
        <w:t>” rather than any fundamental disagreement with the underlying science. In our view, a reasonable jury could accept both contentions and conclude that the FDA would not have rejected Plaintiffs’ proposed warning—or, at least, that the FDA was not highly probable to do so.</w:t>
      </w:r>
    </w:p>
    <w:p w14:paraId="3C1B5BD4" w14:textId="77777777" w:rsidR="00793DC4" w:rsidRDefault="00793DC4">
      <w:pPr>
        <w:widowControl w:val="0"/>
        <w:autoSpaceDE w:val="0"/>
        <w:autoSpaceDN w:val="0"/>
        <w:adjustRightInd w:val="0"/>
        <w:jc w:val="both"/>
        <w:rPr>
          <w:color w:val="000000"/>
        </w:rPr>
      </w:pPr>
      <w:r>
        <w:rPr>
          <w:color w:val="000000"/>
        </w:rPr>
        <w:t> </w:t>
      </w:r>
    </w:p>
    <w:p w14:paraId="009EA218" w14:textId="77777777" w:rsidR="00793DC4" w:rsidRDefault="00793DC4">
      <w:pPr>
        <w:widowControl w:val="0"/>
        <w:autoSpaceDE w:val="0"/>
        <w:autoSpaceDN w:val="0"/>
        <w:adjustRightInd w:val="0"/>
        <w:jc w:val="both"/>
        <w:rPr>
          <w:color w:val="000000"/>
        </w:rPr>
      </w:pPr>
      <w:r>
        <w:rPr>
          <w:color w:val="000000"/>
        </w:rPr>
        <w:t xml:space="preserve">First, a reasonable jury could conclude that Merck could have amended the </w:t>
      </w:r>
      <w:hyperlink r:id="rId422" w:history="1">
        <w:r>
          <w:rPr>
            <w:color w:val="000000"/>
          </w:rPr>
          <w:t>Fosamax</w:t>
        </w:r>
      </w:hyperlink>
      <w:r>
        <w:rPr>
          <w:color w:val="000000"/>
        </w:rPr>
        <w:t xml:space="preserve"> label via the CBE process. To add a warning to the Warnings and Precautions section of a drug label through a CBE submission, “there need only be ‘reasonable’ evidence of a causal association with the drug, a standard that could be met by </w:t>
      </w:r>
      <w:r>
        <w:rPr>
          <w:b/>
          <w:bCs/>
          <w:color w:val="000000"/>
        </w:rPr>
        <w:t>*298</w:t>
      </w:r>
      <w:r>
        <w:rPr>
          <w:color w:val="000000"/>
        </w:rPr>
        <w:t xml:space="preserve"> a wide range of evidence.”</w:t>
      </w:r>
      <w:bookmarkStart w:id="308" w:name="co_footnoteReference_B01552041287330_ID0"/>
      <w:bookmarkEnd w:id="308"/>
      <w:r>
        <w:rPr>
          <w:color w:val="000000"/>
          <w:sz w:val="16"/>
          <w:szCs w:val="16"/>
        </w:rPr>
        <w:fldChar w:fldCharType="begin"/>
      </w:r>
      <w:r>
        <w:rPr>
          <w:color w:val="000000"/>
          <w:sz w:val="16"/>
          <w:szCs w:val="16"/>
        </w:rPr>
        <w:instrText xml:space="preserve">HYPERLINK "#co_footnote_B01552041287330_1" </w:instrText>
      </w:r>
      <w:r w:rsidR="00F61700">
        <w:rPr>
          <w:color w:val="000000"/>
          <w:sz w:val="16"/>
          <w:szCs w:val="16"/>
        </w:rPr>
      </w:r>
      <w:r>
        <w:rPr>
          <w:color w:val="000000"/>
          <w:sz w:val="16"/>
          <w:szCs w:val="16"/>
        </w:rPr>
        <w:fldChar w:fldCharType="separate"/>
      </w:r>
      <w:r>
        <w:rPr>
          <w:color w:val="000000"/>
          <w:sz w:val="16"/>
          <w:szCs w:val="16"/>
          <w:vertAlign w:val="superscript"/>
        </w:rPr>
        <w:t>154</w:t>
      </w:r>
      <w:r>
        <w:rPr>
          <w:color w:val="000000"/>
          <w:sz w:val="16"/>
          <w:szCs w:val="16"/>
        </w:rPr>
        <w:fldChar w:fldCharType="end"/>
      </w:r>
      <w:r>
        <w:rPr>
          <w:color w:val="000000"/>
        </w:rPr>
        <w:t xml:space="preserve"> To gain FDA approval, therefore, the agency does not need to be affirmatively </w:t>
      </w:r>
      <w:r>
        <w:rPr>
          <w:i/>
          <w:iCs/>
          <w:color w:val="000000"/>
        </w:rPr>
        <w:t>convinced</w:t>
      </w:r>
      <w:r>
        <w:rPr>
          <w:color w:val="000000"/>
        </w:rPr>
        <w:t xml:space="preserve"> of a causal link between the drug and the adverse event. Here, there is evidence that the FDA recognized a fracture risk and the possible need for warnings before September 2010. In June 2008, for example, the FDA stated that it was “aware of reports regarding the occurrence of </w:t>
      </w:r>
      <w:proofErr w:type="spellStart"/>
      <w:r>
        <w:rPr>
          <w:color w:val="000000"/>
        </w:rPr>
        <w:t>subtrochanteric</w:t>
      </w:r>
      <w:proofErr w:type="spellEnd"/>
      <w:r>
        <w:rPr>
          <w:color w:val="000000"/>
        </w:rPr>
        <w:t xml:space="preserve"> hip fractures in patients using bisphosphonates,” that these and atypical </w:t>
      </w:r>
      <w:hyperlink r:id="rId423" w:history="1">
        <w:r>
          <w:rPr>
            <w:color w:val="000000"/>
          </w:rPr>
          <w:t>femoral fractures</w:t>
        </w:r>
      </w:hyperlink>
      <w:r>
        <w:rPr>
          <w:color w:val="000000"/>
        </w:rPr>
        <w:t xml:space="preserve"> were “reportedly rare in patients with </w:t>
      </w:r>
      <w:hyperlink r:id="rId424" w:history="1">
        <w:r>
          <w:rPr>
            <w:color w:val="000000"/>
          </w:rPr>
          <w:t>osteoporosis</w:t>
        </w:r>
      </w:hyperlink>
      <w:r>
        <w:rPr>
          <w:color w:val="000000"/>
        </w:rPr>
        <w:t xml:space="preserve"> not on bisphosphonates,” and that it was “concerned about this developing safety signal.”</w:t>
      </w:r>
      <w:bookmarkStart w:id="309" w:name="co_footnoteReference_B01562041287330_ID0"/>
      <w:bookmarkEnd w:id="309"/>
      <w:r>
        <w:rPr>
          <w:color w:val="000000"/>
          <w:sz w:val="16"/>
          <w:szCs w:val="16"/>
        </w:rPr>
        <w:fldChar w:fldCharType="begin"/>
      </w:r>
      <w:r>
        <w:rPr>
          <w:color w:val="000000"/>
          <w:sz w:val="16"/>
          <w:szCs w:val="16"/>
        </w:rPr>
        <w:instrText xml:space="preserve">HYPERLINK "#co_footnote_B01562041287330_1" </w:instrText>
      </w:r>
      <w:r w:rsidR="00F61700">
        <w:rPr>
          <w:color w:val="000000"/>
          <w:sz w:val="16"/>
          <w:szCs w:val="16"/>
        </w:rPr>
      </w:r>
      <w:r>
        <w:rPr>
          <w:color w:val="000000"/>
          <w:sz w:val="16"/>
          <w:szCs w:val="16"/>
        </w:rPr>
        <w:fldChar w:fldCharType="separate"/>
      </w:r>
      <w:r>
        <w:rPr>
          <w:color w:val="000000"/>
          <w:sz w:val="16"/>
          <w:szCs w:val="16"/>
          <w:vertAlign w:val="superscript"/>
        </w:rPr>
        <w:t>155</w:t>
      </w:r>
      <w:r>
        <w:rPr>
          <w:color w:val="000000"/>
          <w:sz w:val="16"/>
          <w:szCs w:val="16"/>
        </w:rPr>
        <w:fldChar w:fldCharType="end"/>
      </w:r>
      <w:r>
        <w:rPr>
          <w:color w:val="000000"/>
        </w:rPr>
        <w:t xml:space="preserve"> And in May 2009, the FDA approved Merck’s request to add a reference to “low energy femoral shaft and </w:t>
      </w:r>
      <w:hyperlink r:id="rId425" w:history="1">
        <w:proofErr w:type="spellStart"/>
        <w:r>
          <w:rPr>
            <w:color w:val="000000"/>
          </w:rPr>
          <w:t>subtrochanteric</w:t>
        </w:r>
        <w:proofErr w:type="spellEnd"/>
        <w:r>
          <w:rPr>
            <w:color w:val="000000"/>
          </w:rPr>
          <w:t xml:space="preserve"> fractures</w:t>
        </w:r>
      </w:hyperlink>
      <w:r>
        <w:rPr>
          <w:color w:val="000000"/>
        </w:rPr>
        <w:t>” in the Adverse Reactions section of the label.</w:t>
      </w:r>
      <w:bookmarkStart w:id="310" w:name="co_footnoteReference_B01572041287330_ID0"/>
      <w:bookmarkEnd w:id="310"/>
      <w:r>
        <w:rPr>
          <w:color w:val="000000"/>
          <w:sz w:val="16"/>
          <w:szCs w:val="16"/>
        </w:rPr>
        <w:fldChar w:fldCharType="begin"/>
      </w:r>
      <w:r>
        <w:rPr>
          <w:color w:val="000000"/>
          <w:sz w:val="16"/>
          <w:szCs w:val="16"/>
        </w:rPr>
        <w:instrText xml:space="preserve">HYPERLINK "#co_footnote_B01572041287330_1" </w:instrText>
      </w:r>
      <w:r w:rsidR="00F61700">
        <w:rPr>
          <w:color w:val="000000"/>
          <w:sz w:val="16"/>
          <w:szCs w:val="16"/>
        </w:rPr>
      </w:r>
      <w:r>
        <w:rPr>
          <w:color w:val="000000"/>
          <w:sz w:val="16"/>
          <w:szCs w:val="16"/>
        </w:rPr>
        <w:fldChar w:fldCharType="separate"/>
      </w:r>
      <w:r>
        <w:rPr>
          <w:color w:val="000000"/>
          <w:sz w:val="16"/>
          <w:szCs w:val="16"/>
          <w:vertAlign w:val="superscript"/>
        </w:rPr>
        <w:t>156</w:t>
      </w:r>
      <w:r>
        <w:rPr>
          <w:color w:val="000000"/>
          <w:sz w:val="16"/>
          <w:szCs w:val="16"/>
        </w:rPr>
        <w:fldChar w:fldCharType="end"/>
      </w:r>
      <w:r>
        <w:rPr>
          <w:color w:val="000000"/>
        </w:rPr>
        <w:t xml:space="preserve"> Even if the FDA did not perceive a “clear connection” between </w:t>
      </w:r>
      <w:hyperlink r:id="rId426" w:history="1">
        <w:r>
          <w:rPr>
            <w:color w:val="000000"/>
          </w:rPr>
          <w:t>Fosamax</w:t>
        </w:r>
      </w:hyperlink>
      <w:r>
        <w:rPr>
          <w:color w:val="000000"/>
        </w:rPr>
        <w:t xml:space="preserve"> and atypical fractures, as it said in early 2010, a juror could conclude that the FDA would still have determined that “reasonable evidence” of a link existed—or more precisely, that the possibility of rejection was less than highly probable.</w:t>
      </w:r>
    </w:p>
    <w:p w14:paraId="60BD3088"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7C3D0967" w14:textId="77777777">
        <w:tblPrEx>
          <w:tblCellMar>
            <w:top w:w="0" w:type="dxa"/>
            <w:left w:w="0" w:type="dxa"/>
            <w:bottom w:w="0" w:type="dxa"/>
            <w:right w:w="0" w:type="dxa"/>
          </w:tblCellMar>
        </w:tblPrEx>
        <w:tc>
          <w:tcPr>
            <w:tcW w:w="600" w:type="dxa"/>
            <w:tcBorders>
              <w:top w:val="nil"/>
              <w:left w:val="nil"/>
              <w:bottom w:val="nil"/>
              <w:right w:val="nil"/>
            </w:tcBorders>
          </w:tcPr>
          <w:bookmarkStart w:id="311" w:name="co_footnote_B01552041287330_1"/>
          <w:bookmarkEnd w:id="311"/>
          <w:p w14:paraId="54FBCBFD"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"#co_footnoteReference_B01552041287330_ID0" </w:instrText>
            </w:r>
            <w:r w:rsidR="00F61700">
              <w:rPr>
                <w:color w:val="000000"/>
              </w:rPr>
            </w:r>
            <w:r>
              <w:rPr>
                <w:color w:val="000000"/>
              </w:rPr>
              <w:fldChar w:fldCharType="separate"/>
            </w:r>
            <w:r>
              <w:rPr>
                <w:color w:val="000000"/>
                <w:vertAlign w:val="superscript"/>
              </w:rPr>
              <w:t>154</w:t>
            </w:r>
            <w:r>
              <w:rPr>
                <w:color w:val="000000"/>
              </w:rPr>
              <w:fldChar w:fldCharType="end"/>
            </w:r>
          </w:p>
          <w:p w14:paraId="5ACD9482"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1BC712C6" w14:textId="77777777" w:rsidR="00793DC4" w:rsidRDefault="00793DC4">
            <w:pPr>
              <w:widowControl w:val="0"/>
              <w:autoSpaceDE w:val="0"/>
              <w:autoSpaceDN w:val="0"/>
              <w:adjustRightInd w:val="0"/>
              <w:jc w:val="both"/>
              <w:rPr>
                <w:color w:val="000000"/>
                <w:sz w:val="18"/>
                <w:szCs w:val="18"/>
              </w:rPr>
            </w:pPr>
            <w:hyperlink r:id="rId427" w:history="1">
              <w:r>
                <w:rPr>
                  <w:color w:val="000000"/>
                  <w:sz w:val="18"/>
                  <w:szCs w:val="18"/>
                </w:rPr>
                <w:t>73 Fed. Reg. at 49,604</w:t>
              </w:r>
            </w:hyperlink>
            <w:r>
              <w:rPr>
                <w:color w:val="000000"/>
                <w:sz w:val="18"/>
                <w:szCs w:val="18"/>
              </w:rPr>
              <w:t xml:space="preserve">. The same “reasonable evidence” standard that governs whether a manufacturer can submit a CBE application also governs whether the FDA should approve it. </w:t>
            </w:r>
            <w:hyperlink r:id="rId428" w:history="1">
              <w:r>
                <w:rPr>
                  <w:color w:val="000000"/>
                  <w:sz w:val="18"/>
                  <w:szCs w:val="18"/>
                </w:rPr>
                <w:t>21 C.F.R. § 201.57(c)(6)(</w:t>
              </w:r>
              <w:proofErr w:type="spellStart"/>
              <w:r>
                <w:rPr>
                  <w:color w:val="000000"/>
                  <w:sz w:val="18"/>
                  <w:szCs w:val="18"/>
                </w:rPr>
                <w:t>i</w:t>
              </w:r>
              <w:proofErr w:type="spellEnd"/>
              <w:r>
                <w:rPr>
                  <w:color w:val="000000"/>
                  <w:sz w:val="18"/>
                  <w:szCs w:val="18"/>
                </w:rPr>
                <w:t>)</w:t>
              </w:r>
            </w:hyperlink>
            <w:r>
              <w:rPr>
                <w:color w:val="000000"/>
                <w:sz w:val="18"/>
                <w:szCs w:val="18"/>
              </w:rPr>
              <w:t>.</w:t>
            </w:r>
          </w:p>
          <w:p w14:paraId="3F27FDB6" w14:textId="77777777" w:rsidR="00793DC4" w:rsidRDefault="00793DC4">
            <w:pPr>
              <w:widowControl w:val="0"/>
              <w:autoSpaceDE w:val="0"/>
              <w:autoSpaceDN w:val="0"/>
              <w:adjustRightInd w:val="0"/>
              <w:jc w:val="both"/>
              <w:rPr>
                <w:color w:val="000000"/>
                <w:sz w:val="18"/>
                <w:szCs w:val="18"/>
              </w:rPr>
            </w:pPr>
          </w:p>
        </w:tc>
      </w:tr>
    </w:tbl>
    <w:p w14:paraId="4C9EAFE6"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07624CE2" w14:textId="77777777">
        <w:tblPrEx>
          <w:tblCellMar>
            <w:top w:w="0" w:type="dxa"/>
            <w:left w:w="0" w:type="dxa"/>
            <w:bottom w:w="0" w:type="dxa"/>
            <w:right w:w="0" w:type="dxa"/>
          </w:tblCellMar>
        </w:tblPrEx>
        <w:tc>
          <w:tcPr>
            <w:tcW w:w="600" w:type="dxa"/>
            <w:tcBorders>
              <w:top w:val="nil"/>
              <w:left w:val="nil"/>
              <w:bottom w:val="nil"/>
              <w:right w:val="nil"/>
            </w:tcBorders>
          </w:tcPr>
          <w:bookmarkStart w:id="312" w:name="co_footnote_B01562041287330_1"/>
          <w:bookmarkEnd w:id="312"/>
          <w:p w14:paraId="7ECEF194"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"#co_footnoteReference_B01562041287330_ID0" </w:instrText>
            </w:r>
            <w:r w:rsidR="00F61700">
              <w:rPr>
                <w:color w:val="000000"/>
              </w:rPr>
            </w:r>
            <w:r>
              <w:rPr>
                <w:color w:val="000000"/>
              </w:rPr>
              <w:fldChar w:fldCharType="separate"/>
            </w:r>
            <w:r>
              <w:rPr>
                <w:color w:val="000000"/>
                <w:vertAlign w:val="superscript"/>
              </w:rPr>
              <w:t>155</w:t>
            </w:r>
            <w:r>
              <w:rPr>
                <w:color w:val="000000"/>
              </w:rPr>
              <w:fldChar w:fldCharType="end"/>
            </w:r>
          </w:p>
          <w:p w14:paraId="6416B19A"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55A83E15" w14:textId="77777777" w:rsidR="00793DC4" w:rsidRDefault="00793DC4">
            <w:pPr>
              <w:widowControl w:val="0"/>
              <w:autoSpaceDE w:val="0"/>
              <w:autoSpaceDN w:val="0"/>
              <w:adjustRightInd w:val="0"/>
              <w:jc w:val="both"/>
              <w:rPr>
                <w:color w:val="000000"/>
                <w:sz w:val="18"/>
                <w:szCs w:val="18"/>
              </w:rPr>
            </w:pPr>
            <w:proofErr w:type="gramStart"/>
            <w:r>
              <w:rPr>
                <w:color w:val="000000"/>
                <w:sz w:val="18"/>
                <w:szCs w:val="18"/>
              </w:rPr>
              <w:t>A</w:t>
            </w:r>
            <w:proofErr w:type="gramEnd"/>
            <w:r>
              <w:rPr>
                <w:color w:val="000000"/>
                <w:sz w:val="18"/>
                <w:szCs w:val="18"/>
              </w:rPr>
              <w:t xml:space="preserve"> 1145.</w:t>
            </w:r>
          </w:p>
          <w:p w14:paraId="32627D01" w14:textId="77777777" w:rsidR="00793DC4" w:rsidRDefault="00793DC4">
            <w:pPr>
              <w:widowControl w:val="0"/>
              <w:autoSpaceDE w:val="0"/>
              <w:autoSpaceDN w:val="0"/>
              <w:adjustRightInd w:val="0"/>
              <w:jc w:val="both"/>
              <w:rPr>
                <w:color w:val="000000"/>
                <w:sz w:val="18"/>
                <w:szCs w:val="18"/>
              </w:rPr>
            </w:pPr>
          </w:p>
        </w:tc>
      </w:tr>
    </w:tbl>
    <w:p w14:paraId="612C3272"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11D6A7B9" w14:textId="77777777">
        <w:tblPrEx>
          <w:tblCellMar>
            <w:top w:w="0" w:type="dxa"/>
            <w:left w:w="0" w:type="dxa"/>
            <w:bottom w:w="0" w:type="dxa"/>
            <w:right w:w="0" w:type="dxa"/>
          </w:tblCellMar>
        </w:tblPrEx>
        <w:tc>
          <w:tcPr>
            <w:tcW w:w="600" w:type="dxa"/>
            <w:tcBorders>
              <w:top w:val="nil"/>
              <w:left w:val="nil"/>
              <w:bottom w:val="nil"/>
              <w:right w:val="nil"/>
            </w:tcBorders>
          </w:tcPr>
          <w:bookmarkStart w:id="313" w:name="co_footnote_B01572041287330_1"/>
          <w:bookmarkEnd w:id="313"/>
          <w:p w14:paraId="77983007"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"#co_footnoteReference_B01572041287330_ID0" </w:instrText>
            </w:r>
            <w:r w:rsidR="00F61700">
              <w:rPr>
                <w:color w:val="000000"/>
              </w:rPr>
            </w:r>
            <w:r>
              <w:rPr>
                <w:color w:val="000000"/>
              </w:rPr>
              <w:fldChar w:fldCharType="separate"/>
            </w:r>
            <w:r>
              <w:rPr>
                <w:color w:val="000000"/>
                <w:vertAlign w:val="superscript"/>
              </w:rPr>
              <w:t>156</w:t>
            </w:r>
            <w:r>
              <w:rPr>
                <w:color w:val="000000"/>
              </w:rPr>
              <w:fldChar w:fldCharType="end"/>
            </w:r>
          </w:p>
          <w:p w14:paraId="24777CF9"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17021CD3" w14:textId="77777777" w:rsidR="00793DC4" w:rsidRDefault="00793DC4">
            <w:pPr>
              <w:widowControl w:val="0"/>
              <w:autoSpaceDE w:val="0"/>
              <w:autoSpaceDN w:val="0"/>
              <w:adjustRightInd w:val="0"/>
              <w:jc w:val="both"/>
              <w:rPr>
                <w:color w:val="000000"/>
                <w:sz w:val="18"/>
                <w:szCs w:val="18"/>
              </w:rPr>
            </w:pPr>
            <w:r>
              <w:rPr>
                <w:color w:val="000000"/>
                <w:sz w:val="18"/>
                <w:szCs w:val="18"/>
              </w:rPr>
              <w:t xml:space="preserve">A 1500-01. As Plaintiffs point out, warnings can only be added to the Adverse Reactions section if they are “reasonably associated with use of” a drug and “there is some basis to believe there is a causal relationship between the drug and the occurrence of the adverse event.” </w:t>
            </w:r>
            <w:hyperlink r:id="rId429" w:history="1">
              <w:r>
                <w:rPr>
                  <w:color w:val="000000"/>
                  <w:sz w:val="18"/>
                  <w:szCs w:val="18"/>
                </w:rPr>
                <w:t>21 C.F.R. § 201.57(c)(7)</w:t>
              </w:r>
            </w:hyperlink>
            <w:r>
              <w:rPr>
                <w:color w:val="000000"/>
                <w:sz w:val="18"/>
                <w:szCs w:val="18"/>
              </w:rPr>
              <w:t xml:space="preserve"> (FDA regulation describing requirements of “Adverse Reactions” section of label). A juror could therefore infer from the FDA’s approval of the Adverse Reactions language that the FDA would have also agreed that there was “reasonable evidence of a causal association” between </w:t>
            </w:r>
            <w:hyperlink r:id="rId430" w:history="1">
              <w:r>
                <w:rPr>
                  <w:color w:val="000000"/>
                  <w:sz w:val="18"/>
                  <w:szCs w:val="18"/>
                </w:rPr>
                <w:t>Fosamax</w:t>
              </w:r>
            </w:hyperlink>
            <w:r>
              <w:rPr>
                <w:color w:val="000000"/>
                <w:sz w:val="18"/>
                <w:szCs w:val="18"/>
              </w:rPr>
              <w:t xml:space="preserve"> and atypical </w:t>
            </w:r>
            <w:hyperlink r:id="rId431" w:history="1">
              <w:r>
                <w:rPr>
                  <w:color w:val="000000"/>
                  <w:sz w:val="18"/>
                  <w:szCs w:val="18"/>
                </w:rPr>
                <w:t>femoral fractures</w:t>
              </w:r>
            </w:hyperlink>
            <w:r>
              <w:rPr>
                <w:color w:val="000000"/>
                <w:sz w:val="18"/>
                <w:szCs w:val="18"/>
              </w:rPr>
              <w:t>.</w:t>
            </w:r>
          </w:p>
          <w:p w14:paraId="47187F40" w14:textId="77777777" w:rsidR="00793DC4" w:rsidRDefault="00793DC4">
            <w:pPr>
              <w:widowControl w:val="0"/>
              <w:autoSpaceDE w:val="0"/>
              <w:autoSpaceDN w:val="0"/>
              <w:adjustRightInd w:val="0"/>
              <w:jc w:val="both"/>
              <w:rPr>
                <w:color w:val="000000"/>
                <w:sz w:val="18"/>
                <w:szCs w:val="18"/>
              </w:rPr>
            </w:pPr>
          </w:p>
        </w:tc>
      </w:tr>
    </w:tbl>
    <w:p w14:paraId="72ED2624" w14:textId="77777777" w:rsidR="00793DC4" w:rsidRDefault="00793DC4">
      <w:pPr>
        <w:widowControl w:val="0"/>
        <w:autoSpaceDE w:val="0"/>
        <w:autoSpaceDN w:val="0"/>
        <w:adjustRightInd w:val="0"/>
        <w:jc w:val="both"/>
        <w:rPr>
          <w:color w:val="000000"/>
        </w:rPr>
      </w:pPr>
    </w:p>
    <w:p w14:paraId="0EDD2D4A" w14:textId="77777777" w:rsidR="00793DC4" w:rsidRDefault="00793DC4">
      <w:pPr>
        <w:widowControl w:val="0"/>
        <w:autoSpaceDE w:val="0"/>
        <w:autoSpaceDN w:val="0"/>
        <w:adjustRightInd w:val="0"/>
        <w:jc w:val="both"/>
        <w:rPr>
          <w:color w:val="000000"/>
        </w:rPr>
      </w:pPr>
      <w:r>
        <w:rPr>
          <w:color w:val="000000"/>
        </w:rPr>
        <w:t xml:space="preserve">Second, a reasonable jury could also conclude that the FDA rejected Merck’s proposed warning about </w:t>
      </w:r>
      <w:hyperlink r:id="rId432" w:history="1">
        <w:r>
          <w:rPr>
            <w:color w:val="000000"/>
          </w:rPr>
          <w:t>femoral fractures</w:t>
        </w:r>
      </w:hyperlink>
      <w:r>
        <w:rPr>
          <w:color w:val="000000"/>
        </w:rPr>
        <w:t xml:space="preserve"> in 2009 not because it denied the existence of a causal link between </w:t>
      </w:r>
      <w:hyperlink r:id="rId433" w:history="1">
        <w:r>
          <w:rPr>
            <w:color w:val="000000"/>
          </w:rPr>
          <w:t>Fosamax</w:t>
        </w:r>
      </w:hyperlink>
      <w:r>
        <w:rPr>
          <w:color w:val="000000"/>
        </w:rPr>
        <w:t xml:space="preserve"> and fractures, but because Merck repeatedly characterized the fractures at issue as “</w:t>
      </w:r>
      <w:hyperlink r:id="rId434" w:history="1">
        <w:r>
          <w:rPr>
            <w:color w:val="000000"/>
          </w:rPr>
          <w:t>stress fractures</w:t>
        </w:r>
      </w:hyperlink>
      <w:r>
        <w:rPr>
          <w:color w:val="000000"/>
        </w:rPr>
        <w:t>.” Merck’s proposed warning used the phrase “</w:t>
      </w:r>
      <w:hyperlink r:id="rId435" w:history="1">
        <w:r>
          <w:rPr>
            <w:color w:val="000000"/>
          </w:rPr>
          <w:t>stress fractures</w:t>
        </w:r>
      </w:hyperlink>
      <w:r>
        <w:rPr>
          <w:color w:val="000000"/>
        </w:rPr>
        <w:t>” six times.</w:t>
      </w:r>
      <w:bookmarkStart w:id="314" w:name="co_footnoteReference_B01582041287330_ID0"/>
      <w:bookmarkEnd w:id="314"/>
      <w:r>
        <w:rPr>
          <w:color w:val="000000"/>
          <w:sz w:val="16"/>
          <w:szCs w:val="16"/>
        </w:rPr>
        <w:fldChar w:fldCharType="begin"/>
      </w:r>
      <w:r>
        <w:rPr>
          <w:color w:val="000000"/>
          <w:sz w:val="16"/>
          <w:szCs w:val="16"/>
        </w:rPr>
        <w:instrText xml:space="preserve">HYPERLINK "#co_footnote_B01582041287330_1" </w:instrText>
      </w:r>
      <w:r w:rsidR="00F61700">
        <w:rPr>
          <w:color w:val="000000"/>
          <w:sz w:val="16"/>
          <w:szCs w:val="16"/>
        </w:rPr>
      </w:r>
      <w:r>
        <w:rPr>
          <w:color w:val="000000"/>
          <w:sz w:val="16"/>
          <w:szCs w:val="16"/>
        </w:rPr>
        <w:fldChar w:fldCharType="separate"/>
      </w:r>
      <w:r>
        <w:rPr>
          <w:color w:val="000000"/>
          <w:sz w:val="16"/>
          <w:szCs w:val="16"/>
          <w:vertAlign w:val="superscript"/>
        </w:rPr>
        <w:t>157</w:t>
      </w:r>
      <w:r>
        <w:rPr>
          <w:color w:val="000000"/>
          <w:sz w:val="16"/>
          <w:szCs w:val="16"/>
        </w:rPr>
        <w:fldChar w:fldCharType="end"/>
      </w:r>
      <w:r>
        <w:rPr>
          <w:color w:val="000000"/>
        </w:rPr>
        <w:t xml:space="preserve"> According to Plaintiffs’ expert, </w:t>
      </w:r>
      <w:hyperlink r:id="rId436" w:history="1">
        <w:r>
          <w:rPr>
            <w:color w:val="000000"/>
          </w:rPr>
          <w:t>stress fractures</w:t>
        </w:r>
      </w:hyperlink>
      <w:r>
        <w:rPr>
          <w:color w:val="000000"/>
        </w:rPr>
        <w:t xml:space="preserve"> are commonly seen in physically active people; atypical </w:t>
      </w:r>
      <w:hyperlink r:id="rId437" w:history="1">
        <w:r>
          <w:rPr>
            <w:color w:val="000000"/>
          </w:rPr>
          <w:t>femoral fractures</w:t>
        </w:r>
      </w:hyperlink>
      <w:r>
        <w:rPr>
          <w:color w:val="000000"/>
        </w:rPr>
        <w:t xml:space="preserve"> are, as the name suggests, highly unusual.</w:t>
      </w:r>
      <w:bookmarkStart w:id="315" w:name="co_footnoteReference_B01592041287330_ID0"/>
      <w:bookmarkEnd w:id="315"/>
      <w:r>
        <w:rPr>
          <w:color w:val="000000"/>
          <w:sz w:val="16"/>
          <w:szCs w:val="16"/>
        </w:rPr>
        <w:fldChar w:fldCharType="begin"/>
      </w:r>
      <w:r>
        <w:rPr>
          <w:color w:val="000000"/>
          <w:sz w:val="16"/>
          <w:szCs w:val="16"/>
        </w:rPr>
        <w:instrText xml:space="preserve">HYPERLINK "#co_footnote_B01592041287330_1" </w:instrText>
      </w:r>
      <w:r w:rsidR="00F61700">
        <w:rPr>
          <w:color w:val="000000"/>
          <w:sz w:val="16"/>
          <w:szCs w:val="16"/>
        </w:rPr>
      </w:r>
      <w:r>
        <w:rPr>
          <w:color w:val="000000"/>
          <w:sz w:val="16"/>
          <w:szCs w:val="16"/>
        </w:rPr>
        <w:fldChar w:fldCharType="separate"/>
      </w:r>
      <w:r>
        <w:rPr>
          <w:color w:val="000000"/>
          <w:sz w:val="16"/>
          <w:szCs w:val="16"/>
          <w:vertAlign w:val="superscript"/>
        </w:rPr>
        <w:t>158</w:t>
      </w:r>
      <w:r>
        <w:rPr>
          <w:color w:val="000000"/>
          <w:sz w:val="16"/>
          <w:szCs w:val="16"/>
        </w:rPr>
        <w:fldChar w:fldCharType="end"/>
      </w:r>
      <w:r>
        <w:rPr>
          <w:color w:val="000000"/>
        </w:rPr>
        <w:t xml:space="preserve"> </w:t>
      </w:r>
      <w:hyperlink r:id="rId438" w:history="1">
        <w:r>
          <w:rPr>
            <w:color w:val="000000"/>
          </w:rPr>
          <w:t>Stress fractures</w:t>
        </w:r>
      </w:hyperlink>
      <w:r>
        <w:rPr>
          <w:color w:val="000000"/>
        </w:rPr>
        <w:t xml:space="preserve"> are usually </w:t>
      </w:r>
      <w:hyperlink r:id="rId439" w:history="1">
        <w:r>
          <w:rPr>
            <w:color w:val="000000"/>
          </w:rPr>
          <w:t xml:space="preserve">incomplete </w:t>
        </w:r>
        <w:r>
          <w:rPr>
            <w:b/>
            <w:bCs/>
            <w:color w:val="000000"/>
          </w:rPr>
          <w:t>*299</w:t>
        </w:r>
        <w:r>
          <w:rPr>
            <w:color w:val="000000"/>
          </w:rPr>
          <w:t xml:space="preserve"> fractures</w:t>
        </w:r>
      </w:hyperlink>
      <w:r>
        <w:rPr>
          <w:color w:val="000000"/>
        </w:rPr>
        <w:t xml:space="preserve"> that heal with rest, while atypical </w:t>
      </w:r>
      <w:hyperlink r:id="rId440" w:history="1">
        <w:r>
          <w:rPr>
            <w:color w:val="000000"/>
          </w:rPr>
          <w:t>femoral fractures</w:t>
        </w:r>
      </w:hyperlink>
      <w:r>
        <w:rPr>
          <w:color w:val="000000"/>
        </w:rPr>
        <w:t xml:space="preserve"> often are complete fractures that require surgical intervention.</w:t>
      </w:r>
      <w:bookmarkStart w:id="316" w:name="co_footnoteReference_B01602041287330_ID0"/>
      <w:bookmarkEnd w:id="316"/>
      <w:r>
        <w:rPr>
          <w:color w:val="000000"/>
          <w:sz w:val="16"/>
          <w:szCs w:val="16"/>
        </w:rPr>
        <w:fldChar w:fldCharType="begin"/>
      </w:r>
      <w:r>
        <w:rPr>
          <w:color w:val="000000"/>
          <w:sz w:val="16"/>
          <w:szCs w:val="16"/>
        </w:rPr>
        <w:instrText xml:space="preserve">HYPERLINK "#co_footnote_B01602041287330_1" </w:instrText>
      </w:r>
      <w:r w:rsidR="00F61700">
        <w:rPr>
          <w:color w:val="000000"/>
          <w:sz w:val="16"/>
          <w:szCs w:val="16"/>
        </w:rPr>
      </w:r>
      <w:r>
        <w:rPr>
          <w:color w:val="000000"/>
          <w:sz w:val="16"/>
          <w:szCs w:val="16"/>
        </w:rPr>
        <w:fldChar w:fldCharType="separate"/>
      </w:r>
      <w:r>
        <w:rPr>
          <w:color w:val="000000"/>
          <w:sz w:val="16"/>
          <w:szCs w:val="16"/>
          <w:vertAlign w:val="superscript"/>
        </w:rPr>
        <w:t>159</w:t>
      </w:r>
      <w:r>
        <w:rPr>
          <w:color w:val="000000"/>
          <w:sz w:val="16"/>
          <w:szCs w:val="16"/>
        </w:rPr>
        <w:fldChar w:fldCharType="end"/>
      </w:r>
      <w:r>
        <w:rPr>
          <w:color w:val="000000"/>
        </w:rPr>
        <w:t xml:space="preserve"> The FDA’s response to Merck’s PAS application stated: “Your justification for the proposed PRECAUTIONS section language is inadequate. Identification of ‘</w:t>
      </w:r>
      <w:hyperlink r:id="rId441" w:history="1">
        <w:r>
          <w:rPr>
            <w:color w:val="000000"/>
          </w:rPr>
          <w:t>stress fractures</w:t>
        </w:r>
      </w:hyperlink>
      <w:r>
        <w:rPr>
          <w:color w:val="000000"/>
        </w:rPr>
        <w:t xml:space="preserve">’ may not be clearly related to the atypical </w:t>
      </w:r>
      <w:proofErr w:type="spellStart"/>
      <w:r>
        <w:rPr>
          <w:color w:val="000000"/>
        </w:rPr>
        <w:t>subtrochanteric</w:t>
      </w:r>
      <w:proofErr w:type="spellEnd"/>
      <w:r>
        <w:rPr>
          <w:color w:val="000000"/>
        </w:rPr>
        <w:t xml:space="preserve"> features that have been reported in the literature. Discussion of the risk factors for </w:t>
      </w:r>
      <w:hyperlink r:id="rId442" w:history="1">
        <w:r>
          <w:rPr>
            <w:color w:val="000000"/>
          </w:rPr>
          <w:t>stress fractures</w:t>
        </w:r>
      </w:hyperlink>
      <w:r>
        <w:rPr>
          <w:color w:val="000000"/>
        </w:rPr>
        <w:t xml:space="preserve"> is not warranted and is not adequately supported by the available literature and post-marketing adverse event reporting.”</w:t>
      </w:r>
      <w:bookmarkStart w:id="317" w:name="co_footnoteReference_B01612041287330_ID0"/>
      <w:bookmarkEnd w:id="317"/>
      <w:r>
        <w:rPr>
          <w:color w:val="000000"/>
          <w:sz w:val="16"/>
          <w:szCs w:val="16"/>
        </w:rPr>
        <w:fldChar w:fldCharType="begin"/>
      </w:r>
      <w:r>
        <w:rPr>
          <w:color w:val="000000"/>
          <w:sz w:val="16"/>
          <w:szCs w:val="16"/>
        </w:rPr>
        <w:instrText xml:space="preserve">HYPERLINK "#co_footnote_B01612041287330_1" </w:instrText>
      </w:r>
      <w:r w:rsidR="00F61700">
        <w:rPr>
          <w:color w:val="000000"/>
          <w:sz w:val="16"/>
          <w:szCs w:val="16"/>
        </w:rPr>
      </w:r>
      <w:r>
        <w:rPr>
          <w:color w:val="000000"/>
          <w:sz w:val="16"/>
          <w:szCs w:val="16"/>
        </w:rPr>
        <w:fldChar w:fldCharType="separate"/>
      </w:r>
      <w:r>
        <w:rPr>
          <w:color w:val="000000"/>
          <w:sz w:val="16"/>
          <w:szCs w:val="16"/>
          <w:vertAlign w:val="superscript"/>
        </w:rPr>
        <w:t>160</w:t>
      </w:r>
      <w:r>
        <w:rPr>
          <w:color w:val="000000"/>
          <w:sz w:val="16"/>
          <w:szCs w:val="16"/>
        </w:rPr>
        <w:fldChar w:fldCharType="end"/>
      </w:r>
      <w:r>
        <w:rPr>
          <w:color w:val="000000"/>
        </w:rPr>
        <w:t xml:space="preserve"> The FDA did not give any other reason for rejecting Merck’s proposed warning.</w:t>
      </w:r>
    </w:p>
    <w:p w14:paraId="561F2D40"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2635DDF4" w14:textId="77777777">
        <w:tblPrEx>
          <w:tblCellMar>
            <w:top w:w="0" w:type="dxa"/>
            <w:left w:w="0" w:type="dxa"/>
            <w:bottom w:w="0" w:type="dxa"/>
            <w:right w:w="0" w:type="dxa"/>
          </w:tblCellMar>
        </w:tblPrEx>
        <w:tc>
          <w:tcPr>
            <w:tcW w:w="600" w:type="dxa"/>
            <w:tcBorders>
              <w:top w:val="nil"/>
              <w:left w:val="nil"/>
              <w:bottom w:val="nil"/>
              <w:right w:val="nil"/>
            </w:tcBorders>
          </w:tcPr>
          <w:bookmarkStart w:id="318" w:name="co_footnote_B01582041287330_1"/>
          <w:bookmarkEnd w:id="318"/>
          <w:p w14:paraId="0517C107"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"#co_footnoteReference_B01582041287330_ID0" </w:instrText>
            </w:r>
            <w:r w:rsidR="00F61700">
              <w:rPr>
                <w:color w:val="000000"/>
              </w:rPr>
            </w:r>
            <w:r>
              <w:rPr>
                <w:color w:val="000000"/>
              </w:rPr>
              <w:fldChar w:fldCharType="separate"/>
            </w:r>
            <w:r>
              <w:rPr>
                <w:color w:val="000000"/>
                <w:vertAlign w:val="superscript"/>
              </w:rPr>
              <w:t>157</w:t>
            </w:r>
            <w:r>
              <w:rPr>
                <w:color w:val="000000"/>
              </w:rPr>
              <w:fldChar w:fldCharType="end"/>
            </w:r>
          </w:p>
          <w:p w14:paraId="7B54D5AC"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0096272B" w14:textId="77777777" w:rsidR="00793DC4" w:rsidRDefault="00793DC4">
            <w:pPr>
              <w:widowControl w:val="0"/>
              <w:autoSpaceDE w:val="0"/>
              <w:autoSpaceDN w:val="0"/>
              <w:adjustRightInd w:val="0"/>
              <w:jc w:val="both"/>
              <w:rPr>
                <w:color w:val="000000"/>
                <w:sz w:val="18"/>
                <w:szCs w:val="18"/>
              </w:rPr>
            </w:pPr>
            <w:r>
              <w:rPr>
                <w:color w:val="000000"/>
                <w:sz w:val="18"/>
                <w:szCs w:val="18"/>
              </w:rPr>
              <w:t>The following is the text of Merck’s proposed addition to the Warnings and Precautions section, with references to “</w:t>
            </w:r>
            <w:hyperlink r:id="rId443" w:history="1">
              <w:r>
                <w:rPr>
                  <w:color w:val="000000"/>
                  <w:sz w:val="18"/>
                  <w:szCs w:val="18"/>
                </w:rPr>
                <w:t>stress fractures</w:t>
              </w:r>
            </w:hyperlink>
            <w:r>
              <w:rPr>
                <w:color w:val="000000"/>
                <w:sz w:val="18"/>
                <w:szCs w:val="18"/>
              </w:rPr>
              <w:t>” bolded:</w:t>
            </w:r>
          </w:p>
          <w:p w14:paraId="1B693D84" w14:textId="77777777" w:rsidR="00793DC4" w:rsidRDefault="00793DC4">
            <w:pPr>
              <w:widowControl w:val="0"/>
              <w:autoSpaceDE w:val="0"/>
              <w:autoSpaceDN w:val="0"/>
              <w:adjustRightInd w:val="0"/>
              <w:ind w:left="360"/>
              <w:jc w:val="both"/>
              <w:rPr>
                <w:color w:val="000000"/>
                <w:sz w:val="18"/>
                <w:szCs w:val="18"/>
              </w:rPr>
            </w:pPr>
            <w:r>
              <w:rPr>
                <w:color w:val="000000"/>
                <w:sz w:val="18"/>
                <w:szCs w:val="18"/>
                <w:u w:val="single"/>
              </w:rPr>
              <w:t xml:space="preserve">Low-Energy </w:t>
            </w:r>
            <w:hyperlink r:id="rId444" w:history="1">
              <w:r>
                <w:rPr>
                  <w:color w:val="000000"/>
                  <w:sz w:val="18"/>
                  <w:szCs w:val="18"/>
                  <w:u w:val="single"/>
                </w:rPr>
                <w:t>Femoral Shaft Fracture</w:t>
              </w:r>
            </w:hyperlink>
          </w:p>
          <w:p w14:paraId="2F69C0D4" w14:textId="77777777" w:rsidR="00793DC4" w:rsidRDefault="00793DC4">
            <w:pPr>
              <w:widowControl w:val="0"/>
              <w:autoSpaceDE w:val="0"/>
              <w:autoSpaceDN w:val="0"/>
              <w:adjustRightInd w:val="0"/>
              <w:ind w:left="360"/>
              <w:jc w:val="both"/>
              <w:rPr>
                <w:color w:val="000000"/>
                <w:sz w:val="18"/>
                <w:szCs w:val="18"/>
              </w:rPr>
            </w:pPr>
            <w:r>
              <w:rPr>
                <w:color w:val="000000"/>
                <w:sz w:val="18"/>
                <w:szCs w:val="18"/>
              </w:rPr>
              <w:t xml:space="preserve">Low-energy fractures of the </w:t>
            </w:r>
            <w:proofErr w:type="spellStart"/>
            <w:r>
              <w:rPr>
                <w:color w:val="000000"/>
                <w:sz w:val="18"/>
                <w:szCs w:val="18"/>
              </w:rPr>
              <w:t>subtrochanteric</w:t>
            </w:r>
            <w:proofErr w:type="spellEnd"/>
            <w:r>
              <w:rPr>
                <w:color w:val="000000"/>
                <w:sz w:val="18"/>
                <w:szCs w:val="18"/>
              </w:rPr>
              <w:t xml:space="preserve"> and proximal femoral shaft have been reported in a small number of bisphosphonate-treated patients. </w:t>
            </w:r>
            <w:r>
              <w:rPr>
                <w:b/>
                <w:bCs/>
                <w:color w:val="000000"/>
                <w:sz w:val="18"/>
                <w:szCs w:val="18"/>
              </w:rPr>
              <w:t xml:space="preserve">Some were </w:t>
            </w:r>
            <w:hyperlink r:id="rId445" w:history="1">
              <w:r>
                <w:rPr>
                  <w:b/>
                  <w:bCs/>
                  <w:color w:val="000000"/>
                  <w:sz w:val="18"/>
                  <w:szCs w:val="18"/>
                </w:rPr>
                <w:t>stress fractures</w:t>
              </w:r>
            </w:hyperlink>
            <w:r>
              <w:rPr>
                <w:color w:val="000000"/>
                <w:sz w:val="18"/>
                <w:szCs w:val="18"/>
              </w:rPr>
              <w:t xml:space="preserve"> (also known as </w:t>
            </w:r>
            <w:hyperlink r:id="rId446" w:history="1">
              <w:r>
                <w:rPr>
                  <w:color w:val="000000"/>
                  <w:sz w:val="18"/>
                  <w:szCs w:val="18"/>
                </w:rPr>
                <w:t>insufficiency fractures</w:t>
              </w:r>
            </w:hyperlink>
            <w:r>
              <w:rPr>
                <w:color w:val="000000"/>
                <w:sz w:val="18"/>
                <w:szCs w:val="18"/>
              </w:rPr>
              <w:t xml:space="preserve">) occurring in the absence of trauma. Some </w:t>
            </w:r>
            <w:proofErr w:type="gramStart"/>
            <w:r>
              <w:rPr>
                <w:color w:val="000000"/>
                <w:sz w:val="18"/>
                <w:szCs w:val="18"/>
              </w:rPr>
              <w:t>patients</w:t>
            </w:r>
            <w:proofErr w:type="gramEnd"/>
            <w:r>
              <w:rPr>
                <w:color w:val="000000"/>
                <w:sz w:val="18"/>
                <w:szCs w:val="18"/>
              </w:rPr>
              <w:t xml:space="preserve"> experienced prodromal pain in the affected area, </w:t>
            </w:r>
            <w:r>
              <w:rPr>
                <w:b/>
                <w:bCs/>
                <w:color w:val="000000"/>
                <w:sz w:val="18"/>
                <w:szCs w:val="18"/>
              </w:rPr>
              <w:t xml:space="preserve">often associated with imaging features of </w:t>
            </w:r>
            <w:hyperlink r:id="rId447" w:history="1">
              <w:r>
                <w:rPr>
                  <w:b/>
                  <w:bCs/>
                  <w:color w:val="000000"/>
                  <w:sz w:val="18"/>
                  <w:szCs w:val="18"/>
                </w:rPr>
                <w:t>stress fracture</w:t>
              </w:r>
            </w:hyperlink>
            <w:r>
              <w:rPr>
                <w:color w:val="000000"/>
                <w:sz w:val="18"/>
                <w:szCs w:val="18"/>
              </w:rPr>
              <w:t xml:space="preserve">, weeks to months before a complete fracture occurred. The number of reports of this condition is very low, and </w:t>
            </w:r>
            <w:hyperlink r:id="rId448" w:history="1">
              <w:r>
                <w:rPr>
                  <w:b/>
                  <w:bCs/>
                  <w:color w:val="000000"/>
                  <w:sz w:val="18"/>
                  <w:szCs w:val="18"/>
                </w:rPr>
                <w:t>stress fractures</w:t>
              </w:r>
            </w:hyperlink>
            <w:r>
              <w:rPr>
                <w:b/>
                <w:bCs/>
                <w:color w:val="000000"/>
                <w:sz w:val="18"/>
                <w:szCs w:val="18"/>
              </w:rPr>
              <w:t xml:space="preserve"> with similar clinical features also have occurred</w:t>
            </w:r>
            <w:r>
              <w:rPr>
                <w:color w:val="000000"/>
                <w:sz w:val="18"/>
                <w:szCs w:val="18"/>
              </w:rPr>
              <w:t xml:space="preserve"> in patients not treated with bisphosphonates. </w:t>
            </w:r>
            <w:r>
              <w:rPr>
                <w:b/>
                <w:bCs/>
                <w:color w:val="000000"/>
                <w:sz w:val="18"/>
                <w:szCs w:val="18"/>
              </w:rPr>
              <w:t xml:space="preserve">Patients with suspected </w:t>
            </w:r>
            <w:hyperlink r:id="rId449" w:history="1">
              <w:r>
                <w:rPr>
                  <w:b/>
                  <w:bCs/>
                  <w:color w:val="000000"/>
                  <w:sz w:val="18"/>
                  <w:szCs w:val="18"/>
                </w:rPr>
                <w:t>stress fractures</w:t>
              </w:r>
            </w:hyperlink>
            <w:r>
              <w:rPr>
                <w:color w:val="000000"/>
                <w:sz w:val="18"/>
                <w:szCs w:val="18"/>
              </w:rPr>
              <w:t xml:space="preserve"> should be evaluated, including evaluation for known causes and risk factors (e.g., vitamin D deficiency, </w:t>
            </w:r>
            <w:proofErr w:type="spellStart"/>
            <w:r>
              <w:rPr>
                <w:color w:val="000000"/>
                <w:sz w:val="18"/>
                <w:szCs w:val="18"/>
              </w:rPr>
              <w:t>malabsorption</w:t>
            </w:r>
            <w:proofErr w:type="spellEnd"/>
            <w:r>
              <w:rPr>
                <w:color w:val="000000"/>
                <w:sz w:val="18"/>
                <w:szCs w:val="18"/>
              </w:rPr>
              <w:t xml:space="preserve">, glucocorticoid use, previous </w:t>
            </w:r>
            <w:hyperlink r:id="rId450" w:history="1">
              <w:r>
                <w:rPr>
                  <w:color w:val="000000"/>
                  <w:sz w:val="18"/>
                  <w:szCs w:val="18"/>
                </w:rPr>
                <w:t>stress fracture</w:t>
              </w:r>
            </w:hyperlink>
            <w:r>
              <w:rPr>
                <w:color w:val="000000"/>
                <w:sz w:val="18"/>
                <w:szCs w:val="18"/>
              </w:rPr>
              <w:t xml:space="preserve">, lower extremity </w:t>
            </w:r>
            <w:hyperlink r:id="rId451" w:history="1">
              <w:r>
                <w:rPr>
                  <w:color w:val="000000"/>
                  <w:sz w:val="18"/>
                  <w:szCs w:val="18"/>
                </w:rPr>
                <w:t>arthritis</w:t>
              </w:r>
            </w:hyperlink>
            <w:r>
              <w:rPr>
                <w:color w:val="000000"/>
                <w:sz w:val="18"/>
                <w:szCs w:val="18"/>
              </w:rPr>
              <w:t xml:space="preserve"> or fracture, extreme or increased exercise, </w:t>
            </w:r>
            <w:hyperlink r:id="rId452" w:history="1">
              <w:r>
                <w:rPr>
                  <w:color w:val="000000"/>
                  <w:sz w:val="18"/>
                  <w:szCs w:val="18"/>
                </w:rPr>
                <w:t>diabetes mellitus</w:t>
              </w:r>
            </w:hyperlink>
            <w:r>
              <w:rPr>
                <w:color w:val="000000"/>
                <w:sz w:val="18"/>
                <w:szCs w:val="18"/>
              </w:rPr>
              <w:t xml:space="preserve">, chronic alcohol abuse), and receive appropriate orthopedic care. Interruption of bisphosphonate therapy in </w:t>
            </w:r>
            <w:r>
              <w:rPr>
                <w:b/>
                <w:bCs/>
                <w:color w:val="000000"/>
                <w:sz w:val="18"/>
                <w:szCs w:val="18"/>
              </w:rPr>
              <w:t xml:space="preserve">patients with </w:t>
            </w:r>
            <w:hyperlink r:id="rId453" w:history="1">
              <w:r>
                <w:rPr>
                  <w:b/>
                  <w:bCs/>
                  <w:color w:val="000000"/>
                  <w:sz w:val="18"/>
                  <w:szCs w:val="18"/>
                </w:rPr>
                <w:t>stress fractures</w:t>
              </w:r>
            </w:hyperlink>
            <w:r>
              <w:rPr>
                <w:color w:val="000000"/>
                <w:sz w:val="18"/>
                <w:szCs w:val="18"/>
              </w:rPr>
              <w:t xml:space="preserve"> should be considered, pending evaluation of the patient, based on individual benefit/risk assessment. A 2720.</w:t>
            </w:r>
          </w:p>
          <w:p w14:paraId="07175C20" w14:textId="77777777" w:rsidR="00793DC4" w:rsidRDefault="00793DC4">
            <w:pPr>
              <w:widowControl w:val="0"/>
              <w:autoSpaceDE w:val="0"/>
              <w:autoSpaceDN w:val="0"/>
              <w:adjustRightInd w:val="0"/>
              <w:ind w:left="360"/>
              <w:jc w:val="both"/>
              <w:rPr>
                <w:color w:val="000000"/>
                <w:sz w:val="18"/>
                <w:szCs w:val="18"/>
              </w:rPr>
            </w:pPr>
          </w:p>
        </w:tc>
      </w:tr>
    </w:tbl>
    <w:p w14:paraId="7B909CCF"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61D0F4AB" w14:textId="77777777">
        <w:tblPrEx>
          <w:tblCellMar>
            <w:top w:w="0" w:type="dxa"/>
            <w:left w:w="0" w:type="dxa"/>
            <w:bottom w:w="0" w:type="dxa"/>
            <w:right w:w="0" w:type="dxa"/>
          </w:tblCellMar>
        </w:tblPrEx>
        <w:tc>
          <w:tcPr>
            <w:tcW w:w="600" w:type="dxa"/>
            <w:tcBorders>
              <w:top w:val="nil"/>
              <w:left w:val="nil"/>
              <w:bottom w:val="nil"/>
              <w:right w:val="nil"/>
            </w:tcBorders>
          </w:tcPr>
          <w:bookmarkStart w:id="319" w:name="co_footnote_B01592041287330_1"/>
          <w:bookmarkEnd w:id="319"/>
          <w:p w14:paraId="75DCBE79"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"#co_footnoteReference_B01592041287330_ID0" </w:instrText>
            </w:r>
            <w:r w:rsidR="00F61700">
              <w:rPr>
                <w:color w:val="000000"/>
              </w:rPr>
            </w:r>
            <w:r>
              <w:rPr>
                <w:color w:val="000000"/>
              </w:rPr>
              <w:fldChar w:fldCharType="separate"/>
            </w:r>
            <w:r>
              <w:rPr>
                <w:color w:val="000000"/>
                <w:vertAlign w:val="superscript"/>
              </w:rPr>
              <w:t>158</w:t>
            </w:r>
            <w:r>
              <w:rPr>
                <w:color w:val="000000"/>
              </w:rPr>
              <w:fldChar w:fldCharType="end"/>
            </w:r>
          </w:p>
          <w:p w14:paraId="30842790"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58EE7FAD" w14:textId="77777777" w:rsidR="00793DC4" w:rsidRDefault="00793DC4">
            <w:pPr>
              <w:widowControl w:val="0"/>
              <w:autoSpaceDE w:val="0"/>
              <w:autoSpaceDN w:val="0"/>
              <w:adjustRightInd w:val="0"/>
              <w:jc w:val="both"/>
              <w:rPr>
                <w:color w:val="000000"/>
                <w:sz w:val="18"/>
                <w:szCs w:val="18"/>
              </w:rPr>
            </w:pPr>
            <w:proofErr w:type="gramStart"/>
            <w:r>
              <w:rPr>
                <w:color w:val="000000"/>
                <w:sz w:val="18"/>
                <w:szCs w:val="18"/>
              </w:rPr>
              <w:t>A</w:t>
            </w:r>
            <w:proofErr w:type="gramEnd"/>
            <w:r>
              <w:rPr>
                <w:color w:val="000000"/>
                <w:sz w:val="18"/>
                <w:szCs w:val="18"/>
              </w:rPr>
              <w:t xml:space="preserve"> 868 ¶ 22; A 881 ¶ 74; A 882 ¶ 76; </w:t>
            </w:r>
            <w:r>
              <w:rPr>
                <w:i/>
                <w:iCs/>
                <w:color w:val="000000"/>
                <w:sz w:val="18"/>
                <w:szCs w:val="18"/>
              </w:rPr>
              <w:t>see also</w:t>
            </w:r>
            <w:r>
              <w:rPr>
                <w:color w:val="000000"/>
                <w:sz w:val="18"/>
                <w:szCs w:val="18"/>
              </w:rPr>
              <w:t xml:space="preserve"> A 1147 (task force report describing atypical </w:t>
            </w:r>
            <w:hyperlink r:id="rId454" w:history="1">
              <w:r>
                <w:rPr>
                  <w:color w:val="000000"/>
                  <w:sz w:val="18"/>
                  <w:szCs w:val="18"/>
                </w:rPr>
                <w:t>femoral fractures</w:t>
              </w:r>
            </w:hyperlink>
            <w:r>
              <w:rPr>
                <w:color w:val="000000"/>
                <w:sz w:val="18"/>
                <w:szCs w:val="18"/>
              </w:rPr>
              <w:t xml:space="preserve"> as occurring with “relative rarity”).</w:t>
            </w:r>
          </w:p>
          <w:p w14:paraId="50A4EACF" w14:textId="77777777" w:rsidR="00793DC4" w:rsidRDefault="00793DC4">
            <w:pPr>
              <w:widowControl w:val="0"/>
              <w:autoSpaceDE w:val="0"/>
              <w:autoSpaceDN w:val="0"/>
              <w:adjustRightInd w:val="0"/>
              <w:jc w:val="both"/>
              <w:rPr>
                <w:color w:val="000000"/>
                <w:sz w:val="18"/>
                <w:szCs w:val="18"/>
              </w:rPr>
            </w:pPr>
          </w:p>
        </w:tc>
      </w:tr>
    </w:tbl>
    <w:p w14:paraId="28472C6C"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497FCAB1" w14:textId="77777777">
        <w:tblPrEx>
          <w:tblCellMar>
            <w:top w:w="0" w:type="dxa"/>
            <w:left w:w="0" w:type="dxa"/>
            <w:bottom w:w="0" w:type="dxa"/>
            <w:right w:w="0" w:type="dxa"/>
          </w:tblCellMar>
        </w:tblPrEx>
        <w:tc>
          <w:tcPr>
            <w:tcW w:w="600" w:type="dxa"/>
            <w:tcBorders>
              <w:top w:val="nil"/>
              <w:left w:val="nil"/>
              <w:bottom w:val="nil"/>
              <w:right w:val="nil"/>
            </w:tcBorders>
          </w:tcPr>
          <w:bookmarkStart w:id="320" w:name="co_footnote_B01602041287330_1"/>
          <w:bookmarkEnd w:id="320"/>
          <w:p w14:paraId="4D7FFF14"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"#co_footnoteReference_B01602041287330_ID0" </w:instrText>
            </w:r>
            <w:r w:rsidR="00F61700">
              <w:rPr>
                <w:color w:val="000000"/>
              </w:rPr>
            </w:r>
            <w:r>
              <w:rPr>
                <w:color w:val="000000"/>
              </w:rPr>
              <w:fldChar w:fldCharType="separate"/>
            </w:r>
            <w:r>
              <w:rPr>
                <w:color w:val="000000"/>
                <w:vertAlign w:val="superscript"/>
              </w:rPr>
              <w:t>159</w:t>
            </w:r>
            <w:r>
              <w:rPr>
                <w:color w:val="000000"/>
              </w:rPr>
              <w:fldChar w:fldCharType="end"/>
            </w:r>
          </w:p>
          <w:p w14:paraId="426985EC"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65437889" w14:textId="77777777" w:rsidR="00793DC4" w:rsidRDefault="00793DC4">
            <w:pPr>
              <w:widowControl w:val="0"/>
              <w:autoSpaceDE w:val="0"/>
              <w:autoSpaceDN w:val="0"/>
              <w:adjustRightInd w:val="0"/>
              <w:jc w:val="both"/>
              <w:rPr>
                <w:color w:val="000000"/>
                <w:sz w:val="18"/>
                <w:szCs w:val="18"/>
              </w:rPr>
            </w:pPr>
            <w:r>
              <w:rPr>
                <w:color w:val="000000"/>
                <w:sz w:val="18"/>
                <w:szCs w:val="18"/>
              </w:rPr>
              <w:t xml:space="preserve">A 884 ¶ 83-84; </w:t>
            </w:r>
            <w:r>
              <w:rPr>
                <w:i/>
                <w:iCs/>
                <w:color w:val="000000"/>
                <w:sz w:val="18"/>
                <w:szCs w:val="18"/>
              </w:rPr>
              <w:t>see also</w:t>
            </w:r>
            <w:r>
              <w:rPr>
                <w:color w:val="000000"/>
                <w:sz w:val="18"/>
                <w:szCs w:val="18"/>
              </w:rPr>
              <w:t xml:space="preserve"> A 1149 (task force report describing atypical </w:t>
            </w:r>
            <w:hyperlink r:id="rId455" w:history="1">
              <w:r>
                <w:rPr>
                  <w:color w:val="000000"/>
                  <w:sz w:val="18"/>
                  <w:szCs w:val="18"/>
                </w:rPr>
                <w:t>femoral fractures</w:t>
              </w:r>
            </w:hyperlink>
            <w:r>
              <w:rPr>
                <w:color w:val="000000"/>
                <w:sz w:val="18"/>
                <w:szCs w:val="18"/>
              </w:rPr>
              <w:t xml:space="preserve"> as “[</w:t>
            </w:r>
            <w:proofErr w:type="gramStart"/>
            <w:r>
              <w:rPr>
                <w:color w:val="000000"/>
                <w:sz w:val="18"/>
                <w:szCs w:val="18"/>
              </w:rPr>
              <w:t>c]</w:t>
            </w:r>
            <w:proofErr w:type="spellStart"/>
            <w:r>
              <w:rPr>
                <w:color w:val="000000"/>
                <w:sz w:val="18"/>
                <w:szCs w:val="18"/>
              </w:rPr>
              <w:t>omplete</w:t>
            </w:r>
            <w:proofErr w:type="spellEnd"/>
            <w:proofErr w:type="gramEnd"/>
            <w:r>
              <w:rPr>
                <w:color w:val="000000"/>
                <w:sz w:val="18"/>
                <w:szCs w:val="18"/>
              </w:rPr>
              <w:t xml:space="preserve"> fractures”).</w:t>
            </w:r>
          </w:p>
          <w:p w14:paraId="68741CBF" w14:textId="77777777" w:rsidR="00793DC4" w:rsidRDefault="00793DC4">
            <w:pPr>
              <w:widowControl w:val="0"/>
              <w:autoSpaceDE w:val="0"/>
              <w:autoSpaceDN w:val="0"/>
              <w:adjustRightInd w:val="0"/>
              <w:jc w:val="both"/>
              <w:rPr>
                <w:color w:val="000000"/>
                <w:sz w:val="18"/>
                <w:szCs w:val="18"/>
              </w:rPr>
            </w:pPr>
          </w:p>
        </w:tc>
      </w:tr>
    </w:tbl>
    <w:p w14:paraId="468FB314"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03329824" w14:textId="77777777">
        <w:tblPrEx>
          <w:tblCellMar>
            <w:top w:w="0" w:type="dxa"/>
            <w:left w:w="0" w:type="dxa"/>
            <w:bottom w:w="0" w:type="dxa"/>
            <w:right w:w="0" w:type="dxa"/>
          </w:tblCellMar>
        </w:tblPrEx>
        <w:tc>
          <w:tcPr>
            <w:tcW w:w="600" w:type="dxa"/>
            <w:tcBorders>
              <w:top w:val="nil"/>
              <w:left w:val="nil"/>
              <w:bottom w:val="nil"/>
              <w:right w:val="nil"/>
            </w:tcBorders>
          </w:tcPr>
          <w:bookmarkStart w:id="321" w:name="co_footnote_B01612041287330_1"/>
          <w:bookmarkEnd w:id="321"/>
          <w:p w14:paraId="11D5EABF"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"#co_footnoteReference_B01612041287330_ID0" </w:instrText>
            </w:r>
            <w:r w:rsidR="00F61700">
              <w:rPr>
                <w:color w:val="000000"/>
              </w:rPr>
            </w:r>
            <w:r>
              <w:rPr>
                <w:color w:val="000000"/>
              </w:rPr>
              <w:fldChar w:fldCharType="separate"/>
            </w:r>
            <w:r>
              <w:rPr>
                <w:color w:val="000000"/>
                <w:vertAlign w:val="superscript"/>
              </w:rPr>
              <w:t>160</w:t>
            </w:r>
            <w:r>
              <w:rPr>
                <w:color w:val="000000"/>
              </w:rPr>
              <w:fldChar w:fldCharType="end"/>
            </w:r>
          </w:p>
          <w:p w14:paraId="569B6B1D"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23692D8D" w14:textId="77777777" w:rsidR="00793DC4" w:rsidRDefault="00793DC4">
            <w:pPr>
              <w:widowControl w:val="0"/>
              <w:autoSpaceDE w:val="0"/>
              <w:autoSpaceDN w:val="0"/>
              <w:adjustRightInd w:val="0"/>
              <w:jc w:val="both"/>
              <w:rPr>
                <w:color w:val="000000"/>
                <w:sz w:val="18"/>
                <w:szCs w:val="18"/>
              </w:rPr>
            </w:pPr>
            <w:r>
              <w:rPr>
                <w:color w:val="000000"/>
                <w:sz w:val="18"/>
                <w:szCs w:val="18"/>
              </w:rPr>
              <w:t>A 1500-01.</w:t>
            </w:r>
          </w:p>
          <w:p w14:paraId="150530EC" w14:textId="77777777" w:rsidR="00793DC4" w:rsidRDefault="00793DC4">
            <w:pPr>
              <w:widowControl w:val="0"/>
              <w:autoSpaceDE w:val="0"/>
              <w:autoSpaceDN w:val="0"/>
              <w:adjustRightInd w:val="0"/>
              <w:jc w:val="both"/>
              <w:rPr>
                <w:color w:val="000000"/>
                <w:sz w:val="18"/>
                <w:szCs w:val="18"/>
              </w:rPr>
            </w:pPr>
          </w:p>
        </w:tc>
      </w:tr>
    </w:tbl>
    <w:p w14:paraId="47035EB7" w14:textId="77777777" w:rsidR="00793DC4" w:rsidRDefault="00793DC4">
      <w:pPr>
        <w:widowControl w:val="0"/>
        <w:autoSpaceDE w:val="0"/>
        <w:autoSpaceDN w:val="0"/>
        <w:adjustRightInd w:val="0"/>
        <w:jc w:val="both"/>
        <w:rPr>
          <w:color w:val="000000"/>
        </w:rPr>
      </w:pPr>
    </w:p>
    <w:p w14:paraId="675570D1" w14:textId="77777777" w:rsidR="00793DC4" w:rsidRDefault="00793DC4">
      <w:pPr>
        <w:widowControl w:val="0"/>
        <w:autoSpaceDE w:val="0"/>
        <w:autoSpaceDN w:val="0"/>
        <w:adjustRightInd w:val="0"/>
        <w:jc w:val="both"/>
        <w:rPr>
          <w:color w:val="000000"/>
          <w:sz w:val="16"/>
          <w:szCs w:val="16"/>
        </w:rPr>
      </w:pPr>
      <w:r>
        <w:rPr>
          <w:color w:val="000000"/>
        </w:rPr>
        <w:t xml:space="preserve">In 2010, when Merck attempted to revise the FDA’s proposed warning by adding references to </w:t>
      </w:r>
      <w:hyperlink r:id="rId456" w:history="1">
        <w:r>
          <w:rPr>
            <w:color w:val="000000"/>
          </w:rPr>
          <w:t>stress fractures</w:t>
        </w:r>
      </w:hyperlink>
      <w:r>
        <w:rPr>
          <w:color w:val="000000"/>
        </w:rPr>
        <w:t xml:space="preserve">, the FDA again struck out the </w:t>
      </w:r>
      <w:hyperlink r:id="rId457" w:history="1">
        <w:r>
          <w:rPr>
            <w:color w:val="000000"/>
          </w:rPr>
          <w:t>stress-fracture</w:t>
        </w:r>
      </w:hyperlink>
      <w:r>
        <w:rPr>
          <w:color w:val="000000"/>
        </w:rPr>
        <w:t xml:space="preserve"> references. It explained that “the term ‘</w:t>
      </w:r>
      <w:hyperlink r:id="rId458" w:history="1">
        <w:r>
          <w:rPr>
            <w:color w:val="000000"/>
          </w:rPr>
          <w:t>stress fracture</w:t>
        </w:r>
      </w:hyperlink>
      <w:r>
        <w:rPr>
          <w:color w:val="000000"/>
        </w:rPr>
        <w:t>’ was considered and was not accepted” because “for most practitioners, the term ‘</w:t>
      </w:r>
      <w:hyperlink r:id="rId459" w:history="1">
        <w:r>
          <w:rPr>
            <w:color w:val="000000"/>
          </w:rPr>
          <w:t>stress fracture</w:t>
        </w:r>
      </w:hyperlink>
      <w:r>
        <w:rPr>
          <w:color w:val="000000"/>
        </w:rPr>
        <w:t xml:space="preserve">’ represents a minor fracture and this would contradict the seriousness of the atypical </w:t>
      </w:r>
      <w:hyperlink r:id="rId460" w:history="1">
        <w:r>
          <w:rPr>
            <w:color w:val="000000"/>
          </w:rPr>
          <w:t>femoral fractures</w:t>
        </w:r>
      </w:hyperlink>
      <w:r>
        <w:rPr>
          <w:color w:val="000000"/>
        </w:rPr>
        <w:t xml:space="preserve"> associated with bisphosphonate use.”</w:t>
      </w:r>
      <w:bookmarkStart w:id="322" w:name="co_footnoteReference_B01622041287330_ID0"/>
      <w:bookmarkEnd w:id="322"/>
      <w:r>
        <w:rPr>
          <w:color w:val="000000"/>
          <w:sz w:val="16"/>
          <w:szCs w:val="16"/>
        </w:rPr>
        <w:fldChar w:fldCharType="begin"/>
      </w:r>
      <w:r>
        <w:rPr>
          <w:color w:val="000000"/>
          <w:sz w:val="16"/>
          <w:szCs w:val="16"/>
        </w:rPr>
        <w:instrText xml:space="preserve">HYPERLINK "#co_footnote_B01622041287330_1" </w:instrText>
      </w:r>
      <w:r w:rsidR="00F61700">
        <w:rPr>
          <w:color w:val="000000"/>
          <w:sz w:val="16"/>
          <w:szCs w:val="16"/>
        </w:rPr>
      </w:r>
      <w:r>
        <w:rPr>
          <w:color w:val="000000"/>
          <w:sz w:val="16"/>
          <w:szCs w:val="16"/>
        </w:rPr>
        <w:fldChar w:fldCharType="separate"/>
      </w:r>
      <w:r>
        <w:rPr>
          <w:color w:val="000000"/>
          <w:sz w:val="16"/>
          <w:szCs w:val="16"/>
          <w:vertAlign w:val="superscript"/>
        </w:rPr>
        <w:t>161</w:t>
      </w:r>
      <w:r>
        <w:rPr>
          <w:color w:val="000000"/>
          <w:sz w:val="16"/>
          <w:szCs w:val="16"/>
        </w:rPr>
        <w:fldChar w:fldCharType="end"/>
      </w:r>
    </w:p>
    <w:p w14:paraId="53D5E6B4"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754681CC" w14:textId="77777777">
        <w:tblPrEx>
          <w:tblCellMar>
            <w:top w:w="0" w:type="dxa"/>
            <w:left w:w="0" w:type="dxa"/>
            <w:bottom w:w="0" w:type="dxa"/>
            <w:right w:w="0" w:type="dxa"/>
          </w:tblCellMar>
        </w:tblPrEx>
        <w:tc>
          <w:tcPr>
            <w:tcW w:w="600" w:type="dxa"/>
            <w:tcBorders>
              <w:top w:val="nil"/>
              <w:left w:val="nil"/>
              <w:bottom w:val="nil"/>
              <w:right w:val="nil"/>
            </w:tcBorders>
          </w:tcPr>
          <w:bookmarkStart w:id="323" w:name="co_footnote_B01622041287330_1"/>
          <w:bookmarkEnd w:id="323"/>
          <w:p w14:paraId="50006CFE"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"#co_footnoteReference_B01622041287330_ID0" </w:instrText>
            </w:r>
            <w:r w:rsidR="00F61700">
              <w:rPr>
                <w:color w:val="000000"/>
              </w:rPr>
            </w:r>
            <w:r>
              <w:rPr>
                <w:color w:val="000000"/>
              </w:rPr>
              <w:fldChar w:fldCharType="separate"/>
            </w:r>
            <w:r>
              <w:rPr>
                <w:color w:val="000000"/>
                <w:vertAlign w:val="superscript"/>
              </w:rPr>
              <w:t>161</w:t>
            </w:r>
            <w:r>
              <w:rPr>
                <w:color w:val="000000"/>
              </w:rPr>
              <w:fldChar w:fldCharType="end"/>
            </w:r>
          </w:p>
          <w:p w14:paraId="3B6231CD"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411D6408" w14:textId="77777777" w:rsidR="00793DC4" w:rsidRDefault="00793DC4">
            <w:pPr>
              <w:widowControl w:val="0"/>
              <w:autoSpaceDE w:val="0"/>
              <w:autoSpaceDN w:val="0"/>
              <w:adjustRightInd w:val="0"/>
              <w:jc w:val="both"/>
              <w:rPr>
                <w:color w:val="000000"/>
                <w:sz w:val="18"/>
                <w:szCs w:val="18"/>
              </w:rPr>
            </w:pPr>
            <w:r>
              <w:rPr>
                <w:color w:val="000000"/>
                <w:sz w:val="18"/>
                <w:szCs w:val="18"/>
              </w:rPr>
              <w:t>A1540.</w:t>
            </w:r>
          </w:p>
          <w:p w14:paraId="1F936997" w14:textId="77777777" w:rsidR="00793DC4" w:rsidRDefault="00793DC4">
            <w:pPr>
              <w:widowControl w:val="0"/>
              <w:autoSpaceDE w:val="0"/>
              <w:autoSpaceDN w:val="0"/>
              <w:adjustRightInd w:val="0"/>
              <w:jc w:val="both"/>
              <w:rPr>
                <w:color w:val="000000"/>
                <w:sz w:val="18"/>
                <w:szCs w:val="18"/>
              </w:rPr>
            </w:pPr>
          </w:p>
        </w:tc>
      </w:tr>
    </w:tbl>
    <w:p w14:paraId="2CEE54F0" w14:textId="77777777" w:rsidR="00793DC4" w:rsidRDefault="00793DC4">
      <w:pPr>
        <w:widowControl w:val="0"/>
        <w:autoSpaceDE w:val="0"/>
        <w:autoSpaceDN w:val="0"/>
        <w:adjustRightInd w:val="0"/>
        <w:jc w:val="both"/>
        <w:rPr>
          <w:color w:val="000000"/>
        </w:rPr>
      </w:pPr>
    </w:p>
    <w:p w14:paraId="4E3D4F55" w14:textId="77777777" w:rsidR="00793DC4" w:rsidRDefault="00793DC4">
      <w:pPr>
        <w:widowControl w:val="0"/>
        <w:autoSpaceDE w:val="0"/>
        <w:autoSpaceDN w:val="0"/>
        <w:adjustRightInd w:val="0"/>
        <w:jc w:val="both"/>
        <w:rPr>
          <w:color w:val="000000"/>
        </w:rPr>
      </w:pPr>
      <w:r>
        <w:rPr>
          <w:color w:val="000000"/>
        </w:rPr>
        <w:t xml:space="preserve">As discussed above, Merck argues that if the FDA had been truly concerned about the risk of atypical fractures, it could have revised and approved a warning without the offending </w:t>
      </w:r>
      <w:hyperlink r:id="rId461" w:history="1">
        <w:r>
          <w:rPr>
            <w:color w:val="000000"/>
          </w:rPr>
          <w:t>stress-fracture</w:t>
        </w:r>
      </w:hyperlink>
      <w:r>
        <w:rPr>
          <w:color w:val="000000"/>
        </w:rPr>
        <w:t xml:space="preserve"> references. As a matter of law, however, the burden and the responsibility to correct a drug label rests with the manufacturer, not the FDA.</w:t>
      </w:r>
      <w:bookmarkStart w:id="324" w:name="co_footnoteReference_B01632041287330_ID0"/>
      <w:bookmarkEnd w:id="324"/>
      <w:r>
        <w:rPr>
          <w:color w:val="000000"/>
          <w:sz w:val="16"/>
          <w:szCs w:val="16"/>
        </w:rPr>
        <w:fldChar w:fldCharType="begin"/>
      </w:r>
      <w:r>
        <w:rPr>
          <w:color w:val="000000"/>
          <w:sz w:val="16"/>
          <w:szCs w:val="16"/>
        </w:rPr>
        <w:instrText xml:space="preserve">HYPERLINK "#co_footnote_B01632041287330_1" </w:instrText>
      </w:r>
      <w:r w:rsidR="00F61700">
        <w:rPr>
          <w:color w:val="000000"/>
          <w:sz w:val="16"/>
          <w:szCs w:val="16"/>
        </w:rPr>
      </w:r>
      <w:r>
        <w:rPr>
          <w:color w:val="000000"/>
          <w:sz w:val="16"/>
          <w:szCs w:val="16"/>
        </w:rPr>
        <w:fldChar w:fldCharType="separate"/>
      </w:r>
      <w:r>
        <w:rPr>
          <w:color w:val="000000"/>
          <w:sz w:val="16"/>
          <w:szCs w:val="16"/>
          <w:vertAlign w:val="superscript"/>
        </w:rPr>
        <w:t>162</w:t>
      </w:r>
      <w:r>
        <w:rPr>
          <w:color w:val="000000"/>
          <w:sz w:val="16"/>
          <w:szCs w:val="16"/>
        </w:rPr>
        <w:fldChar w:fldCharType="end"/>
      </w:r>
      <w:r>
        <w:rPr>
          <w:color w:val="000000"/>
        </w:rPr>
        <w:t xml:space="preserve"> Once the FDA rejected Merck’s proposal, the ball was back in Merck’s court to submit a revised, corrected proposal. A reasonable juror could therefore conclude that it was Merck’s failure to re-submit a revised CBE or PAS without </w:t>
      </w:r>
      <w:hyperlink r:id="rId462" w:history="1">
        <w:r>
          <w:rPr>
            <w:color w:val="000000"/>
          </w:rPr>
          <w:t>stress-fracture</w:t>
        </w:r>
      </w:hyperlink>
      <w:r>
        <w:rPr>
          <w:color w:val="000000"/>
        </w:rPr>
        <w:t xml:space="preserve"> language, rather than the FDA’s supposedly intransigent stance on the science, that prevented the FDA from approving a label change.</w:t>
      </w:r>
    </w:p>
    <w:p w14:paraId="2119490C"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5B5FFA31" w14:textId="77777777">
        <w:tblPrEx>
          <w:tblCellMar>
            <w:top w:w="0" w:type="dxa"/>
            <w:left w:w="0" w:type="dxa"/>
            <w:bottom w:w="0" w:type="dxa"/>
            <w:right w:w="0" w:type="dxa"/>
          </w:tblCellMar>
        </w:tblPrEx>
        <w:tc>
          <w:tcPr>
            <w:tcW w:w="600" w:type="dxa"/>
            <w:tcBorders>
              <w:top w:val="nil"/>
              <w:left w:val="nil"/>
              <w:bottom w:val="nil"/>
              <w:right w:val="nil"/>
            </w:tcBorders>
          </w:tcPr>
          <w:bookmarkStart w:id="325" w:name="co_footnote_B01632041287330_1"/>
          <w:bookmarkEnd w:id="325"/>
          <w:p w14:paraId="62140AAE"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"#co_footnoteReference_B01632041287330_ID0" </w:instrText>
            </w:r>
            <w:r w:rsidR="00F61700">
              <w:rPr>
                <w:color w:val="000000"/>
              </w:rPr>
            </w:r>
            <w:r>
              <w:rPr>
                <w:color w:val="000000"/>
              </w:rPr>
              <w:fldChar w:fldCharType="separate"/>
            </w:r>
            <w:r>
              <w:rPr>
                <w:color w:val="000000"/>
                <w:vertAlign w:val="superscript"/>
              </w:rPr>
              <w:t>162</w:t>
            </w:r>
            <w:r>
              <w:rPr>
                <w:color w:val="000000"/>
              </w:rPr>
              <w:fldChar w:fldCharType="end"/>
            </w:r>
          </w:p>
          <w:p w14:paraId="35EA8D54"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023C9A60" w14:textId="77777777" w:rsidR="00793DC4" w:rsidRDefault="00793DC4">
            <w:pPr>
              <w:widowControl w:val="0"/>
              <w:autoSpaceDE w:val="0"/>
              <w:autoSpaceDN w:val="0"/>
              <w:adjustRightInd w:val="0"/>
              <w:jc w:val="both"/>
              <w:rPr>
                <w:color w:val="000000"/>
                <w:sz w:val="18"/>
                <w:szCs w:val="18"/>
              </w:rPr>
            </w:pPr>
            <w:r>
              <w:rPr>
                <w:i/>
                <w:iCs/>
                <w:color w:val="000000"/>
                <w:sz w:val="18"/>
                <w:szCs w:val="18"/>
              </w:rPr>
              <w:t xml:space="preserve">See </w:t>
            </w:r>
            <w:hyperlink r:id="rId463" w:history="1">
              <w:r>
                <w:rPr>
                  <w:i/>
                  <w:iCs/>
                  <w:color w:val="000000"/>
                  <w:sz w:val="18"/>
                  <w:szCs w:val="18"/>
                </w:rPr>
                <w:t>Wyeth</w:t>
              </w:r>
              <w:r>
                <w:rPr>
                  <w:color w:val="000000"/>
                  <w:sz w:val="18"/>
                  <w:szCs w:val="18"/>
                </w:rPr>
                <w:t xml:space="preserve">, 555 U.S. at 570-71, 129 </w:t>
              </w:r>
              <w:proofErr w:type="spellStart"/>
              <w:r>
                <w:rPr>
                  <w:color w:val="000000"/>
                  <w:sz w:val="18"/>
                  <w:szCs w:val="18"/>
                </w:rPr>
                <w:t>S.Ct</w:t>
              </w:r>
              <w:proofErr w:type="spellEnd"/>
              <w:r>
                <w:rPr>
                  <w:color w:val="000000"/>
                  <w:sz w:val="18"/>
                  <w:szCs w:val="18"/>
                </w:rPr>
                <w:t>. 1187</w:t>
              </w:r>
            </w:hyperlink>
            <w:r>
              <w:rPr>
                <w:color w:val="000000"/>
                <w:sz w:val="18"/>
                <w:szCs w:val="18"/>
              </w:rPr>
              <w:t xml:space="preserve"> (“[</w:t>
            </w:r>
            <w:proofErr w:type="gramStart"/>
            <w:r>
              <w:rPr>
                <w:color w:val="000000"/>
                <w:sz w:val="18"/>
                <w:szCs w:val="18"/>
              </w:rPr>
              <w:t>T]</w:t>
            </w:r>
            <w:proofErr w:type="spellStart"/>
            <w:r>
              <w:rPr>
                <w:color w:val="000000"/>
                <w:sz w:val="18"/>
                <w:szCs w:val="18"/>
              </w:rPr>
              <w:t>hrough</w:t>
            </w:r>
            <w:proofErr w:type="spellEnd"/>
            <w:proofErr w:type="gramEnd"/>
            <w:r>
              <w:rPr>
                <w:color w:val="000000"/>
                <w:sz w:val="18"/>
                <w:szCs w:val="18"/>
              </w:rPr>
              <w:t xml:space="preserve"> many amendments to the FDCA and to FDA regulations, it has remained a central premise of federal drug regulation that the manufacturer bears responsibility for the content of its label at all times.”); </w:t>
            </w:r>
            <w:hyperlink r:id="rId464" w:history="1">
              <w:r>
                <w:rPr>
                  <w:color w:val="000000"/>
                  <w:sz w:val="18"/>
                  <w:szCs w:val="18"/>
                </w:rPr>
                <w:t>21 U.S.C. § 355(o)(4)(I)</w:t>
              </w:r>
            </w:hyperlink>
            <w:r>
              <w:rPr>
                <w:color w:val="000000"/>
                <w:sz w:val="18"/>
                <w:szCs w:val="18"/>
              </w:rPr>
              <w:t xml:space="preserve"> (“Rule of construction” clarifying that the 2007 FDCA amendments “shall not be construed to affect the responsibility of the responsible person ... to maintain its label in accordance with existing requirements”).</w:t>
            </w:r>
          </w:p>
          <w:p w14:paraId="69FAF398" w14:textId="77777777" w:rsidR="00793DC4" w:rsidRDefault="00793DC4">
            <w:pPr>
              <w:widowControl w:val="0"/>
              <w:autoSpaceDE w:val="0"/>
              <w:autoSpaceDN w:val="0"/>
              <w:adjustRightInd w:val="0"/>
              <w:jc w:val="both"/>
              <w:rPr>
                <w:color w:val="000000"/>
                <w:sz w:val="18"/>
                <w:szCs w:val="18"/>
              </w:rPr>
            </w:pPr>
          </w:p>
        </w:tc>
      </w:tr>
    </w:tbl>
    <w:p w14:paraId="0C0E10D5" w14:textId="77777777" w:rsidR="00793DC4" w:rsidRDefault="00793DC4">
      <w:pPr>
        <w:widowControl w:val="0"/>
        <w:autoSpaceDE w:val="0"/>
        <w:autoSpaceDN w:val="0"/>
        <w:adjustRightInd w:val="0"/>
        <w:jc w:val="both"/>
        <w:rPr>
          <w:color w:val="000000"/>
        </w:rPr>
      </w:pPr>
    </w:p>
    <w:p w14:paraId="12A8657E" w14:textId="77777777" w:rsidR="00793DC4" w:rsidRDefault="00793DC4">
      <w:pPr>
        <w:widowControl w:val="0"/>
        <w:autoSpaceDE w:val="0"/>
        <w:autoSpaceDN w:val="0"/>
        <w:adjustRightInd w:val="0"/>
        <w:jc w:val="both"/>
        <w:rPr>
          <w:color w:val="000000"/>
        </w:rPr>
      </w:pPr>
      <w:r>
        <w:rPr>
          <w:color w:val="000000"/>
        </w:rPr>
        <w:t xml:space="preserve">Plaintiffs’ evidence certainly does not </w:t>
      </w:r>
      <w:r>
        <w:rPr>
          <w:i/>
          <w:iCs/>
          <w:color w:val="000000"/>
        </w:rPr>
        <w:t>compel</w:t>
      </w:r>
      <w:r>
        <w:rPr>
          <w:color w:val="000000"/>
        </w:rPr>
        <w:t xml:space="preserve"> the conclusion that the FDA would have accepted an atypical fracture warning that omitted the language about </w:t>
      </w:r>
      <w:hyperlink r:id="rId465" w:history="1">
        <w:r>
          <w:rPr>
            <w:color w:val="000000"/>
          </w:rPr>
          <w:t>stress fractures</w:t>
        </w:r>
      </w:hyperlink>
      <w:r>
        <w:rPr>
          <w:color w:val="000000"/>
        </w:rPr>
        <w:t xml:space="preserve">. But our inquiry at this stage is not about who has the best evidence; it is about what a reasonable jury applying a heightened standard of proof </w:t>
      </w:r>
      <w:r>
        <w:rPr>
          <w:i/>
          <w:iCs/>
          <w:color w:val="000000"/>
        </w:rPr>
        <w:t>could</w:t>
      </w:r>
      <w:r>
        <w:rPr>
          <w:color w:val="000000"/>
        </w:rPr>
        <w:t xml:space="preserve"> conclude on the basis of the evidence. Because the </w:t>
      </w:r>
      <w:hyperlink r:id="rId466" w:history="1">
        <w:r>
          <w:rPr>
            <w:i/>
            <w:iCs/>
            <w:color w:val="000000"/>
          </w:rPr>
          <w:t>Wyeth</w:t>
        </w:r>
      </w:hyperlink>
      <w:r>
        <w:rPr>
          <w:color w:val="000000"/>
        </w:rPr>
        <w:t xml:space="preserve"> test requires the </w:t>
      </w:r>
      <w:proofErr w:type="spellStart"/>
      <w:r>
        <w:rPr>
          <w:color w:val="000000"/>
        </w:rPr>
        <w:t>factfinder</w:t>
      </w:r>
      <w:proofErr w:type="spellEnd"/>
      <w:r>
        <w:rPr>
          <w:color w:val="000000"/>
        </w:rPr>
        <w:t xml:space="preserve"> to speculate about hypothetical scenarios using inferences drawn from historical facts, reasonable jurors could reach a broad range of conclusions when confronted with this record. To that inherent uncertainty we then add all the reasonable inferences that </w:t>
      </w:r>
      <w:hyperlink r:id="rId467" w:history="1">
        <w:r>
          <w:rPr>
            <w:color w:val="000000"/>
          </w:rPr>
          <w:t>Rule 56</w:t>
        </w:r>
      </w:hyperlink>
      <w:r>
        <w:rPr>
          <w:color w:val="000000"/>
        </w:rPr>
        <w:t xml:space="preserve"> requires us to draw in Plaintiffs’ favor: the FDA would have agreed that the evidence of an association was “reasonable” prior to 2010; the FDA rejected Merck’s proposed warning because it was primarily concerned with the misleading references to </w:t>
      </w:r>
      <w:hyperlink r:id="rId468" w:history="1">
        <w:r>
          <w:rPr>
            <w:color w:val="000000"/>
          </w:rPr>
          <w:t>stress fractures</w:t>
        </w:r>
      </w:hyperlink>
      <w:r>
        <w:rPr>
          <w:color w:val="000000"/>
        </w:rPr>
        <w:t xml:space="preserve"> rather than the underlying science; the FDA refrained from counter-proposing an acceptable warning in 2009 because it considered it Merck’s responsibility to submit a </w:t>
      </w:r>
      <w:r>
        <w:rPr>
          <w:b/>
          <w:bCs/>
          <w:color w:val="000000"/>
        </w:rPr>
        <w:t>*300</w:t>
      </w:r>
      <w:r>
        <w:rPr>
          <w:color w:val="000000"/>
        </w:rPr>
        <w:t xml:space="preserve"> revised warning; the FDA affirmatively reached out to Merck in 2010 because it recognized that the science was now so strong that amending the label was a legal imperative, not because it was acknowledging a sufficient risk for the first time.</w:t>
      </w:r>
    </w:p>
    <w:p w14:paraId="614A4965" w14:textId="77777777" w:rsidR="00793DC4" w:rsidRDefault="00793DC4">
      <w:pPr>
        <w:widowControl w:val="0"/>
        <w:autoSpaceDE w:val="0"/>
        <w:autoSpaceDN w:val="0"/>
        <w:adjustRightInd w:val="0"/>
        <w:jc w:val="both"/>
        <w:rPr>
          <w:color w:val="000000"/>
        </w:rPr>
      </w:pPr>
      <w:r>
        <w:rPr>
          <w:color w:val="000000"/>
        </w:rPr>
        <w:t> </w:t>
      </w:r>
    </w:p>
    <w:p w14:paraId="79EE917D" w14:textId="77777777" w:rsidR="00793DC4" w:rsidRDefault="00793DC4">
      <w:pPr>
        <w:widowControl w:val="0"/>
        <w:autoSpaceDE w:val="0"/>
        <w:autoSpaceDN w:val="0"/>
        <w:adjustRightInd w:val="0"/>
        <w:jc w:val="both"/>
        <w:rPr>
          <w:color w:val="000000"/>
          <w:sz w:val="16"/>
          <w:szCs w:val="16"/>
        </w:rPr>
      </w:pPr>
      <w:r>
        <w:rPr>
          <w:color w:val="000000"/>
        </w:rPr>
        <w:t>A reasonable juror reviewing the evidence in this case could find it less than highly probable that the FDA would not have approved a warning about the risk of atypical femur fractures that eliminated or revised references to “</w:t>
      </w:r>
      <w:hyperlink r:id="rId469" w:history="1">
        <w:r>
          <w:rPr>
            <w:color w:val="000000"/>
          </w:rPr>
          <w:t>stress fractures</w:t>
        </w:r>
      </w:hyperlink>
      <w:r>
        <w:rPr>
          <w:color w:val="000000"/>
        </w:rPr>
        <w:t>.” Accordingly, Merck is not entitled to summary judgment on its preemption defense to Plaintiffs’ Warnings and Precautions claims.</w:t>
      </w:r>
      <w:bookmarkStart w:id="326" w:name="co_footnoteReference_B01642041287330_ID0"/>
      <w:bookmarkEnd w:id="326"/>
      <w:r>
        <w:rPr>
          <w:color w:val="000000"/>
          <w:sz w:val="16"/>
          <w:szCs w:val="16"/>
        </w:rPr>
        <w:fldChar w:fldCharType="begin"/>
      </w:r>
      <w:r>
        <w:rPr>
          <w:color w:val="000000"/>
          <w:sz w:val="16"/>
          <w:szCs w:val="16"/>
        </w:rPr>
        <w:instrText xml:space="preserve">HYPERLINK "#co_footnote_B01642041287330_1" </w:instrText>
      </w:r>
      <w:r w:rsidR="00F61700">
        <w:rPr>
          <w:color w:val="000000"/>
          <w:sz w:val="16"/>
          <w:szCs w:val="16"/>
        </w:rPr>
      </w:r>
      <w:r>
        <w:rPr>
          <w:color w:val="000000"/>
          <w:sz w:val="16"/>
          <w:szCs w:val="16"/>
        </w:rPr>
        <w:fldChar w:fldCharType="separate"/>
      </w:r>
      <w:r>
        <w:rPr>
          <w:color w:val="000000"/>
          <w:sz w:val="16"/>
          <w:szCs w:val="16"/>
          <w:vertAlign w:val="superscript"/>
        </w:rPr>
        <w:t>163</w:t>
      </w:r>
      <w:r>
        <w:rPr>
          <w:color w:val="000000"/>
          <w:sz w:val="16"/>
          <w:szCs w:val="16"/>
        </w:rPr>
        <w:fldChar w:fldCharType="end"/>
      </w:r>
    </w:p>
    <w:p w14:paraId="50505488"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1E493E54" w14:textId="77777777">
        <w:tblPrEx>
          <w:tblCellMar>
            <w:top w:w="0" w:type="dxa"/>
            <w:left w:w="0" w:type="dxa"/>
            <w:bottom w:w="0" w:type="dxa"/>
            <w:right w:w="0" w:type="dxa"/>
          </w:tblCellMar>
        </w:tblPrEx>
        <w:tc>
          <w:tcPr>
            <w:tcW w:w="600" w:type="dxa"/>
            <w:tcBorders>
              <w:top w:val="nil"/>
              <w:left w:val="nil"/>
              <w:bottom w:val="nil"/>
              <w:right w:val="nil"/>
            </w:tcBorders>
          </w:tcPr>
          <w:bookmarkStart w:id="327" w:name="co_footnote_B01642041287330_1"/>
          <w:bookmarkEnd w:id="327"/>
          <w:p w14:paraId="34C7C371"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"#co_footnoteReference_B01642041287330_ID0" </w:instrText>
            </w:r>
            <w:r w:rsidR="00F61700">
              <w:rPr>
                <w:color w:val="000000"/>
              </w:rPr>
            </w:r>
            <w:r>
              <w:rPr>
                <w:color w:val="000000"/>
              </w:rPr>
              <w:fldChar w:fldCharType="separate"/>
            </w:r>
            <w:r>
              <w:rPr>
                <w:color w:val="000000"/>
                <w:vertAlign w:val="superscript"/>
              </w:rPr>
              <w:t>163</w:t>
            </w:r>
            <w:r>
              <w:rPr>
                <w:color w:val="000000"/>
              </w:rPr>
              <w:fldChar w:fldCharType="end"/>
            </w:r>
          </w:p>
          <w:p w14:paraId="6EA19E50"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49436237" w14:textId="77777777" w:rsidR="00793DC4" w:rsidRDefault="00793DC4">
            <w:pPr>
              <w:widowControl w:val="0"/>
              <w:autoSpaceDE w:val="0"/>
              <w:autoSpaceDN w:val="0"/>
              <w:adjustRightInd w:val="0"/>
              <w:jc w:val="both"/>
              <w:rPr>
                <w:color w:val="000000"/>
                <w:sz w:val="18"/>
                <w:szCs w:val="18"/>
              </w:rPr>
            </w:pPr>
            <w:r>
              <w:rPr>
                <w:color w:val="000000"/>
                <w:sz w:val="18"/>
                <w:szCs w:val="18"/>
              </w:rPr>
              <w:t>Our ruling today concerns only the correctness of the District Court’s March 24, 2014 decision that Merck was entitled to summary judgment on its affirmative preemption defense. We express no view as to whether or how our ruling should be applied to any individual action in the MDL going forward.</w:t>
            </w:r>
          </w:p>
          <w:p w14:paraId="391BBB43" w14:textId="77777777" w:rsidR="00793DC4" w:rsidRDefault="00793DC4">
            <w:pPr>
              <w:widowControl w:val="0"/>
              <w:autoSpaceDE w:val="0"/>
              <w:autoSpaceDN w:val="0"/>
              <w:adjustRightInd w:val="0"/>
              <w:ind w:left="180"/>
              <w:jc w:val="both"/>
              <w:rPr>
                <w:color w:val="000000"/>
                <w:sz w:val="18"/>
                <w:szCs w:val="18"/>
              </w:rPr>
            </w:pPr>
            <w:r>
              <w:rPr>
                <w:color w:val="000000"/>
                <w:sz w:val="18"/>
                <w:szCs w:val="18"/>
              </w:rPr>
              <w:t xml:space="preserve">One of the reasons Merck gave for treating </w:t>
            </w:r>
            <w:hyperlink r:id="rId470" w:history="1">
              <w:r>
                <w:rPr>
                  <w:i/>
                  <w:iCs/>
                  <w:color w:val="000000"/>
                  <w:sz w:val="18"/>
                  <w:szCs w:val="18"/>
                </w:rPr>
                <w:t>Wyeth</w:t>
              </w:r>
            </w:hyperlink>
            <w:r>
              <w:rPr>
                <w:color w:val="000000"/>
                <w:sz w:val="18"/>
                <w:szCs w:val="18"/>
              </w:rPr>
              <w:t xml:space="preserve"> </w:t>
            </w:r>
            <w:proofErr w:type="gramStart"/>
            <w:r>
              <w:rPr>
                <w:color w:val="000000"/>
                <w:sz w:val="18"/>
                <w:szCs w:val="18"/>
              </w:rPr>
              <w:t>preemption</w:t>
            </w:r>
            <w:proofErr w:type="gramEnd"/>
            <w:r>
              <w:rPr>
                <w:color w:val="000000"/>
                <w:sz w:val="18"/>
                <w:szCs w:val="18"/>
              </w:rPr>
              <w:t xml:space="preserve"> as a pure question of law was that doing so would allegedly ensure consistency of its application across the hundreds of claims in this MDL. We of course do not decide issues by considering how many lawsuits our ruling will extinguish or revive. At any rate, the suits in this MDL pose numerous binary jury questions that conceivably apply across the board. </w:t>
            </w:r>
            <w:hyperlink r:id="rId471" w:history="1">
              <w:r>
                <w:rPr>
                  <w:color w:val="000000"/>
                  <w:sz w:val="18"/>
                  <w:szCs w:val="18"/>
                </w:rPr>
                <w:t>Fosamax</w:t>
              </w:r>
            </w:hyperlink>
            <w:r>
              <w:rPr>
                <w:color w:val="000000"/>
                <w:sz w:val="18"/>
                <w:szCs w:val="18"/>
              </w:rPr>
              <w:t xml:space="preserve"> either causes atypical </w:t>
            </w:r>
            <w:hyperlink r:id="rId472" w:history="1">
              <w:r>
                <w:rPr>
                  <w:color w:val="000000"/>
                  <w:sz w:val="18"/>
                  <w:szCs w:val="18"/>
                </w:rPr>
                <w:t>femoral fractures</w:t>
              </w:r>
            </w:hyperlink>
            <w:r>
              <w:rPr>
                <w:color w:val="000000"/>
                <w:sz w:val="18"/>
                <w:szCs w:val="18"/>
              </w:rPr>
              <w:t xml:space="preserve"> or it does not; Merck either knew about the alleged risks of fracture or it did not; the risks of </w:t>
            </w:r>
            <w:hyperlink r:id="rId473" w:history="1">
              <w:r>
                <w:rPr>
                  <w:color w:val="000000"/>
                  <w:sz w:val="18"/>
                  <w:szCs w:val="18"/>
                </w:rPr>
                <w:t>Fosamax</w:t>
              </w:r>
            </w:hyperlink>
            <w:r>
              <w:rPr>
                <w:color w:val="000000"/>
                <w:sz w:val="18"/>
                <w:szCs w:val="18"/>
              </w:rPr>
              <w:t xml:space="preserve"> either outweighed its benefits or they did not; the list goes on. Ontologically speaking, there is an “objective” right answer to each of these questions that does not vary from case to case. And treating each issue as one of pure law to be disposed at a swoop of the judge’s pen would certainly speed matters along. But neither consideration is an adequate basis to shift the traditional line between judge and jury functions. Of course, if the manufacturer shows that there is no genuine dispute as to any material fact bearing on </w:t>
            </w:r>
            <w:hyperlink r:id="rId474" w:history="1">
              <w:r>
                <w:rPr>
                  <w:i/>
                  <w:iCs/>
                  <w:color w:val="000000"/>
                  <w:sz w:val="18"/>
                  <w:szCs w:val="18"/>
                </w:rPr>
                <w:t>Wyeth</w:t>
              </w:r>
            </w:hyperlink>
            <w:r>
              <w:rPr>
                <w:color w:val="000000"/>
                <w:sz w:val="18"/>
                <w:szCs w:val="18"/>
              </w:rPr>
              <w:t xml:space="preserve"> preemption, </w:t>
            </w:r>
            <w:proofErr w:type="gramStart"/>
            <w:r>
              <w:rPr>
                <w:color w:val="000000"/>
                <w:sz w:val="18"/>
                <w:szCs w:val="18"/>
              </w:rPr>
              <w:t>then</w:t>
            </w:r>
            <w:proofErr w:type="gramEnd"/>
            <w:r>
              <w:rPr>
                <w:color w:val="000000"/>
                <w:sz w:val="18"/>
                <w:szCs w:val="18"/>
              </w:rPr>
              <w:t xml:space="preserve"> a judge can indeed decide as a matter of law that the defense is established. But that showing was not made here. The FDA either would have approved Plaintiffs’ warning or they would not; we cannot say.</w:t>
            </w:r>
          </w:p>
          <w:p w14:paraId="77EBC6AA" w14:textId="77777777" w:rsidR="00793DC4" w:rsidRDefault="00793DC4">
            <w:pPr>
              <w:widowControl w:val="0"/>
              <w:autoSpaceDE w:val="0"/>
              <w:autoSpaceDN w:val="0"/>
              <w:adjustRightInd w:val="0"/>
              <w:ind w:left="180"/>
              <w:jc w:val="both"/>
              <w:rPr>
                <w:color w:val="000000"/>
                <w:sz w:val="18"/>
                <w:szCs w:val="18"/>
              </w:rPr>
            </w:pPr>
            <w:r>
              <w:rPr>
                <w:color w:val="000000"/>
                <w:sz w:val="18"/>
                <w:szCs w:val="18"/>
              </w:rPr>
              <w:t xml:space="preserve">Treating preemption as a jury issue does not automatically condemn Merck to a thousand individual jury trials. The MDL parties could, for example, hold a bellwether trial on the preemption question, after which the prevailing party would be free to argue that the other side should be collaterally estopped from re-litigating preemption in individual cases. </w:t>
            </w:r>
            <w:r>
              <w:rPr>
                <w:i/>
                <w:iCs/>
                <w:color w:val="000000"/>
                <w:sz w:val="18"/>
                <w:szCs w:val="18"/>
              </w:rPr>
              <w:t xml:space="preserve">See </w:t>
            </w:r>
            <w:hyperlink r:id="rId475" w:history="1">
              <w:proofErr w:type="spellStart"/>
              <w:r>
                <w:rPr>
                  <w:i/>
                  <w:iCs/>
                  <w:color w:val="000000"/>
                  <w:sz w:val="18"/>
                  <w:szCs w:val="18"/>
                </w:rPr>
                <w:t>Markman</w:t>
              </w:r>
              <w:proofErr w:type="spellEnd"/>
              <w:r>
                <w:rPr>
                  <w:color w:val="000000"/>
                  <w:sz w:val="18"/>
                  <w:szCs w:val="18"/>
                </w:rPr>
                <w:t xml:space="preserve">, 517 U.S. at 391, 116 </w:t>
              </w:r>
              <w:proofErr w:type="spellStart"/>
              <w:r>
                <w:rPr>
                  <w:color w:val="000000"/>
                  <w:sz w:val="18"/>
                  <w:szCs w:val="18"/>
                </w:rPr>
                <w:t>S.Ct</w:t>
              </w:r>
              <w:proofErr w:type="spellEnd"/>
              <w:r>
                <w:rPr>
                  <w:color w:val="000000"/>
                  <w:sz w:val="18"/>
                  <w:szCs w:val="18"/>
                </w:rPr>
                <w:t>. 1384</w:t>
              </w:r>
            </w:hyperlink>
            <w:r>
              <w:rPr>
                <w:color w:val="000000"/>
                <w:sz w:val="18"/>
                <w:szCs w:val="18"/>
              </w:rPr>
              <w:t xml:space="preserve"> (recognizing that treating a question as a factual issue does not leave it “wide open in every new court” because “principles of issue preclusion would ordinarily foster uniformity”). Again, we express no view on the merits or likely outcomes of such an approach.</w:t>
            </w:r>
          </w:p>
          <w:p w14:paraId="2B3152FB" w14:textId="77777777" w:rsidR="00793DC4" w:rsidRDefault="00793DC4">
            <w:pPr>
              <w:widowControl w:val="0"/>
              <w:autoSpaceDE w:val="0"/>
              <w:autoSpaceDN w:val="0"/>
              <w:adjustRightInd w:val="0"/>
              <w:ind w:left="180"/>
              <w:jc w:val="both"/>
              <w:rPr>
                <w:color w:val="000000"/>
                <w:sz w:val="18"/>
                <w:szCs w:val="18"/>
              </w:rPr>
            </w:pPr>
          </w:p>
        </w:tc>
      </w:tr>
    </w:tbl>
    <w:p w14:paraId="7AE8D981" w14:textId="77777777" w:rsidR="00793DC4" w:rsidRDefault="00793DC4">
      <w:pPr>
        <w:widowControl w:val="0"/>
        <w:autoSpaceDE w:val="0"/>
        <w:autoSpaceDN w:val="0"/>
        <w:adjustRightInd w:val="0"/>
        <w:jc w:val="both"/>
        <w:rPr>
          <w:color w:val="000000"/>
        </w:rPr>
      </w:pPr>
    </w:p>
    <w:p w14:paraId="51ED2485" w14:textId="77777777" w:rsidR="00793DC4" w:rsidRDefault="00793DC4">
      <w:pPr>
        <w:widowControl w:val="0"/>
        <w:autoSpaceDE w:val="0"/>
        <w:autoSpaceDN w:val="0"/>
        <w:adjustRightInd w:val="0"/>
        <w:spacing w:before="400" w:after="200"/>
        <w:jc w:val="center"/>
        <w:rPr>
          <w:b/>
          <w:bCs/>
          <w:color w:val="000000"/>
        </w:rPr>
      </w:pPr>
      <w:r>
        <w:rPr>
          <w:b/>
          <w:bCs/>
          <w:color w:val="000000"/>
        </w:rPr>
        <w:t>C. Merck is Not Entitled to Summary Judgment on Plaintiffs’ Adverse Reactions Claims</w:t>
      </w:r>
    </w:p>
    <w:p w14:paraId="119EE97F" w14:textId="77777777" w:rsidR="00793DC4" w:rsidRDefault="00793DC4">
      <w:pPr>
        <w:widowControl w:val="0"/>
        <w:autoSpaceDE w:val="0"/>
        <w:autoSpaceDN w:val="0"/>
        <w:adjustRightInd w:val="0"/>
        <w:jc w:val="both"/>
        <w:rPr>
          <w:color w:val="000000"/>
        </w:rPr>
      </w:pPr>
      <w:r>
        <w:rPr>
          <w:color w:val="000000"/>
        </w:rPr>
        <w:t xml:space="preserve">Plaintiffs’ failure-to-warn claims focus primarily on the assertion that Merck should have added a fractures warning to the Warnings and Precautions section of the </w:t>
      </w:r>
      <w:hyperlink r:id="rId476" w:history="1">
        <w:r>
          <w:rPr>
            <w:color w:val="000000"/>
          </w:rPr>
          <w:t>Fosamax</w:t>
        </w:r>
      </w:hyperlink>
      <w:r>
        <w:rPr>
          <w:color w:val="000000"/>
        </w:rPr>
        <w:t xml:space="preserve"> label prior to September 2010. But Plaintiffs also contend that their failure-to-warn claims encompass a related but distinct allegation that Merck should have added atypical fractures to the Adverse Reactions section prior to May 2009 (the date the FDA actually approved Merck’s addition of atypical fractures to the Adverse Reactions section), and that Merck’s failure to do so proximately caused their injuries.</w:t>
      </w:r>
      <w:bookmarkStart w:id="328" w:name="co_footnoteReference_B01652041287330_ID0"/>
      <w:bookmarkEnd w:id="328"/>
      <w:r>
        <w:rPr>
          <w:color w:val="000000"/>
          <w:sz w:val="16"/>
          <w:szCs w:val="16"/>
        </w:rPr>
        <w:fldChar w:fldCharType="begin"/>
      </w:r>
      <w:r>
        <w:rPr>
          <w:color w:val="000000"/>
          <w:sz w:val="16"/>
          <w:szCs w:val="16"/>
        </w:rPr>
        <w:instrText xml:space="preserve">HYPERLINK "#co_footnote_B01652041287330_1" </w:instrText>
      </w:r>
      <w:r w:rsidR="00F61700">
        <w:rPr>
          <w:color w:val="000000"/>
          <w:sz w:val="16"/>
          <w:szCs w:val="16"/>
        </w:rPr>
      </w:r>
      <w:r>
        <w:rPr>
          <w:color w:val="000000"/>
          <w:sz w:val="16"/>
          <w:szCs w:val="16"/>
        </w:rPr>
        <w:fldChar w:fldCharType="separate"/>
      </w:r>
      <w:r>
        <w:rPr>
          <w:color w:val="000000"/>
          <w:sz w:val="16"/>
          <w:szCs w:val="16"/>
          <w:vertAlign w:val="superscript"/>
        </w:rPr>
        <w:t>164</w:t>
      </w:r>
      <w:r>
        <w:rPr>
          <w:color w:val="000000"/>
          <w:sz w:val="16"/>
          <w:szCs w:val="16"/>
        </w:rPr>
        <w:fldChar w:fldCharType="end"/>
      </w:r>
      <w:r>
        <w:rPr>
          <w:color w:val="000000"/>
        </w:rPr>
        <w:t xml:space="preserve"> The District Court ruled that this claim was insufficiently pled and not supported by the evidence, and entered summary judgment for Merck on the merits. This ruling was in error.</w:t>
      </w:r>
    </w:p>
    <w:p w14:paraId="18706530"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4C6CA3A5" w14:textId="77777777">
        <w:tblPrEx>
          <w:tblCellMar>
            <w:top w:w="0" w:type="dxa"/>
            <w:left w:w="0" w:type="dxa"/>
            <w:bottom w:w="0" w:type="dxa"/>
            <w:right w:w="0" w:type="dxa"/>
          </w:tblCellMar>
        </w:tblPrEx>
        <w:tc>
          <w:tcPr>
            <w:tcW w:w="600" w:type="dxa"/>
            <w:tcBorders>
              <w:top w:val="nil"/>
              <w:left w:val="nil"/>
              <w:bottom w:val="nil"/>
              <w:right w:val="nil"/>
            </w:tcBorders>
          </w:tcPr>
          <w:bookmarkStart w:id="329" w:name="co_footnote_B01652041287330_1"/>
          <w:bookmarkEnd w:id="329"/>
          <w:p w14:paraId="2AE690D2"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"#co_footnoteReference_B01652041287330_ID0" </w:instrText>
            </w:r>
            <w:r w:rsidR="00F61700">
              <w:rPr>
                <w:color w:val="000000"/>
              </w:rPr>
            </w:r>
            <w:r>
              <w:rPr>
                <w:color w:val="000000"/>
              </w:rPr>
              <w:fldChar w:fldCharType="separate"/>
            </w:r>
            <w:r>
              <w:rPr>
                <w:color w:val="000000"/>
                <w:vertAlign w:val="superscript"/>
              </w:rPr>
              <w:t>164</w:t>
            </w:r>
            <w:r>
              <w:rPr>
                <w:color w:val="000000"/>
              </w:rPr>
              <w:fldChar w:fldCharType="end"/>
            </w:r>
          </w:p>
          <w:p w14:paraId="6A4E8C79"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626FE309" w14:textId="77777777" w:rsidR="00793DC4" w:rsidRDefault="00793DC4">
            <w:pPr>
              <w:widowControl w:val="0"/>
              <w:autoSpaceDE w:val="0"/>
              <w:autoSpaceDN w:val="0"/>
              <w:adjustRightInd w:val="0"/>
              <w:jc w:val="both"/>
              <w:rPr>
                <w:color w:val="000000"/>
                <w:sz w:val="18"/>
                <w:szCs w:val="18"/>
              </w:rPr>
            </w:pPr>
            <w:r>
              <w:rPr>
                <w:i/>
                <w:iCs/>
                <w:color w:val="000000"/>
                <w:sz w:val="18"/>
                <w:szCs w:val="18"/>
              </w:rPr>
              <w:t>See</w:t>
            </w:r>
            <w:r>
              <w:rPr>
                <w:color w:val="000000"/>
                <w:sz w:val="18"/>
                <w:szCs w:val="18"/>
              </w:rPr>
              <w:t xml:space="preserve"> A 1501.</w:t>
            </w:r>
          </w:p>
          <w:p w14:paraId="7965AB61" w14:textId="77777777" w:rsidR="00793DC4" w:rsidRDefault="00793DC4">
            <w:pPr>
              <w:widowControl w:val="0"/>
              <w:autoSpaceDE w:val="0"/>
              <w:autoSpaceDN w:val="0"/>
              <w:adjustRightInd w:val="0"/>
              <w:jc w:val="both"/>
              <w:rPr>
                <w:color w:val="000000"/>
                <w:sz w:val="18"/>
                <w:szCs w:val="18"/>
              </w:rPr>
            </w:pPr>
          </w:p>
        </w:tc>
      </w:tr>
    </w:tbl>
    <w:p w14:paraId="7ECED112" w14:textId="77777777" w:rsidR="00793DC4" w:rsidRDefault="00793DC4">
      <w:pPr>
        <w:widowControl w:val="0"/>
        <w:autoSpaceDE w:val="0"/>
        <w:autoSpaceDN w:val="0"/>
        <w:adjustRightInd w:val="0"/>
        <w:jc w:val="both"/>
        <w:rPr>
          <w:color w:val="000000"/>
        </w:rPr>
      </w:pPr>
    </w:p>
    <w:p w14:paraId="5F37A177" w14:textId="77777777" w:rsidR="00793DC4" w:rsidRDefault="00793DC4">
      <w:pPr>
        <w:widowControl w:val="0"/>
        <w:autoSpaceDE w:val="0"/>
        <w:autoSpaceDN w:val="0"/>
        <w:adjustRightInd w:val="0"/>
        <w:jc w:val="both"/>
        <w:rPr>
          <w:color w:val="000000"/>
        </w:rPr>
      </w:pPr>
      <w:r>
        <w:rPr>
          <w:color w:val="000000"/>
        </w:rPr>
        <w:t xml:space="preserve">As an initial matter, </w:t>
      </w:r>
      <w:proofErr w:type="gramStart"/>
      <w:r>
        <w:rPr>
          <w:color w:val="000000"/>
        </w:rPr>
        <w:t xml:space="preserve">the Adverse Reaction Claims are not preempted by </w:t>
      </w:r>
      <w:hyperlink r:id="rId477" w:history="1">
        <w:r>
          <w:rPr>
            <w:i/>
            <w:iCs/>
            <w:color w:val="000000"/>
          </w:rPr>
          <w:t>Wyeth</w:t>
        </w:r>
        <w:proofErr w:type="gramEnd"/>
      </w:hyperlink>
      <w:r>
        <w:rPr>
          <w:color w:val="000000"/>
        </w:rPr>
        <w:t xml:space="preserve">, and Merck does not argue otherwise. Merck requested that atypical fractures be added to the Adverse Reactions section in 2009, and the FDA approved the request. Merck has not shown by clear evidence </w:t>
      </w:r>
      <w:r>
        <w:rPr>
          <w:b/>
          <w:bCs/>
          <w:color w:val="000000"/>
        </w:rPr>
        <w:t>*301</w:t>
      </w:r>
      <w:r>
        <w:rPr>
          <w:color w:val="000000"/>
        </w:rPr>
        <w:t xml:space="preserve"> that the FDA would have rejected such a warning had Merck proposed it earlier.</w:t>
      </w:r>
    </w:p>
    <w:p w14:paraId="743A2ADE" w14:textId="77777777" w:rsidR="00793DC4" w:rsidRDefault="00793DC4">
      <w:pPr>
        <w:widowControl w:val="0"/>
        <w:autoSpaceDE w:val="0"/>
        <w:autoSpaceDN w:val="0"/>
        <w:adjustRightInd w:val="0"/>
        <w:jc w:val="both"/>
        <w:rPr>
          <w:color w:val="000000"/>
        </w:rPr>
      </w:pPr>
      <w:r>
        <w:rPr>
          <w:color w:val="000000"/>
        </w:rPr>
        <w:t> </w:t>
      </w:r>
    </w:p>
    <w:p w14:paraId="768B8247" w14:textId="77777777" w:rsidR="00793DC4" w:rsidRDefault="00793DC4">
      <w:pPr>
        <w:widowControl w:val="0"/>
        <w:autoSpaceDE w:val="0"/>
        <w:autoSpaceDN w:val="0"/>
        <w:adjustRightInd w:val="0"/>
        <w:jc w:val="both"/>
        <w:rPr>
          <w:color w:val="000000"/>
        </w:rPr>
      </w:pPr>
      <w:r>
        <w:rPr>
          <w:color w:val="000000"/>
        </w:rPr>
        <w:t>Turning to the merits, the District Court dismissed the Adverse Reactions claims on two grounds.</w:t>
      </w:r>
      <w:bookmarkStart w:id="330" w:name="co_footnoteReference_B01662041287330_ID0"/>
      <w:bookmarkEnd w:id="330"/>
      <w:r>
        <w:rPr>
          <w:color w:val="000000"/>
          <w:sz w:val="16"/>
          <w:szCs w:val="16"/>
        </w:rPr>
        <w:fldChar w:fldCharType="begin"/>
      </w:r>
      <w:r>
        <w:rPr>
          <w:color w:val="000000"/>
          <w:sz w:val="16"/>
          <w:szCs w:val="16"/>
        </w:rPr>
        <w:instrText xml:space="preserve">HYPERLINK "#co_footnote_B01662041287330_1" </w:instrText>
      </w:r>
      <w:r w:rsidR="00F61700">
        <w:rPr>
          <w:color w:val="000000"/>
          <w:sz w:val="16"/>
          <w:szCs w:val="16"/>
        </w:rPr>
      </w:r>
      <w:r>
        <w:rPr>
          <w:color w:val="000000"/>
          <w:sz w:val="16"/>
          <w:szCs w:val="16"/>
        </w:rPr>
        <w:fldChar w:fldCharType="separate"/>
      </w:r>
      <w:r>
        <w:rPr>
          <w:color w:val="000000"/>
          <w:sz w:val="16"/>
          <w:szCs w:val="16"/>
          <w:vertAlign w:val="superscript"/>
        </w:rPr>
        <w:t>165</w:t>
      </w:r>
      <w:r>
        <w:rPr>
          <w:color w:val="000000"/>
          <w:sz w:val="16"/>
          <w:szCs w:val="16"/>
        </w:rPr>
        <w:fldChar w:fldCharType="end"/>
      </w:r>
      <w:r>
        <w:rPr>
          <w:color w:val="000000"/>
        </w:rPr>
        <w:t xml:space="preserve"> The first basis for the District Court’s ruling was its conclusion that Plaintiffs did not specifically plead a failure-to-warn claim based on the Adverse Reactions label section in any of their complaints. Whether or not this is an accurate assessment—we do not have every MDL complaint before us to confirm, and there is no indication that the District Court reviewed each of the hundreds of complaints at issue either—we think it beside the point. Plaintiffs direct us to a number of complaints alleging generally that the </w:t>
      </w:r>
      <w:hyperlink r:id="rId478" w:history="1">
        <w:r>
          <w:rPr>
            <w:color w:val="000000"/>
          </w:rPr>
          <w:t>Fosamax</w:t>
        </w:r>
      </w:hyperlink>
      <w:r>
        <w:rPr>
          <w:color w:val="000000"/>
        </w:rPr>
        <w:t xml:space="preserve"> label did not adequately warn patients and doctors of the fracture risk, without specifying the particular warnings that should have been included or the particular failings of each label section.</w:t>
      </w:r>
      <w:bookmarkStart w:id="331" w:name="co_footnoteReference_B01672041287330_ID0"/>
      <w:bookmarkEnd w:id="331"/>
      <w:r>
        <w:rPr>
          <w:color w:val="000000"/>
          <w:sz w:val="16"/>
          <w:szCs w:val="16"/>
        </w:rPr>
        <w:fldChar w:fldCharType="begin"/>
      </w:r>
      <w:r>
        <w:rPr>
          <w:color w:val="000000"/>
          <w:sz w:val="16"/>
          <w:szCs w:val="16"/>
        </w:rPr>
        <w:instrText xml:space="preserve">HYPERLINK "#co_footnote_B01672041287330_1" </w:instrText>
      </w:r>
      <w:r w:rsidR="00F61700">
        <w:rPr>
          <w:color w:val="000000"/>
          <w:sz w:val="16"/>
          <w:szCs w:val="16"/>
        </w:rPr>
      </w:r>
      <w:r>
        <w:rPr>
          <w:color w:val="000000"/>
          <w:sz w:val="16"/>
          <w:szCs w:val="16"/>
        </w:rPr>
        <w:fldChar w:fldCharType="separate"/>
      </w:r>
      <w:r>
        <w:rPr>
          <w:color w:val="000000"/>
          <w:sz w:val="16"/>
          <w:szCs w:val="16"/>
          <w:vertAlign w:val="superscript"/>
        </w:rPr>
        <w:t>166</w:t>
      </w:r>
      <w:r>
        <w:rPr>
          <w:color w:val="000000"/>
          <w:sz w:val="16"/>
          <w:szCs w:val="16"/>
        </w:rPr>
        <w:fldChar w:fldCharType="end"/>
      </w:r>
      <w:r>
        <w:rPr>
          <w:color w:val="000000"/>
        </w:rPr>
        <w:t xml:space="preserve"> The parties and the District Court all accept that these general allegations adequately pled the Warnings and Precautions theory discussed above. It is therefore difficult to understand why the District Court faulted the same complaints for failing to specify every section of the label that should have included a warning. At any rate, such specificity is not required by the Federal Rules of Civil Procedure.</w:t>
      </w:r>
      <w:bookmarkStart w:id="332" w:name="co_footnoteReference_B01682041287330_ID0"/>
      <w:bookmarkEnd w:id="332"/>
      <w:r>
        <w:rPr>
          <w:color w:val="000000"/>
          <w:sz w:val="16"/>
          <w:szCs w:val="16"/>
        </w:rPr>
        <w:fldChar w:fldCharType="begin"/>
      </w:r>
      <w:r>
        <w:rPr>
          <w:color w:val="000000"/>
          <w:sz w:val="16"/>
          <w:szCs w:val="16"/>
        </w:rPr>
        <w:instrText xml:space="preserve">HYPERLINK "#co_footnote_B01682041287330_1" </w:instrText>
      </w:r>
      <w:r w:rsidR="00F61700">
        <w:rPr>
          <w:color w:val="000000"/>
          <w:sz w:val="16"/>
          <w:szCs w:val="16"/>
        </w:rPr>
      </w:r>
      <w:r>
        <w:rPr>
          <w:color w:val="000000"/>
          <w:sz w:val="16"/>
          <w:szCs w:val="16"/>
        </w:rPr>
        <w:fldChar w:fldCharType="separate"/>
      </w:r>
      <w:r>
        <w:rPr>
          <w:color w:val="000000"/>
          <w:sz w:val="16"/>
          <w:szCs w:val="16"/>
          <w:vertAlign w:val="superscript"/>
        </w:rPr>
        <w:t>167</w:t>
      </w:r>
      <w:r>
        <w:rPr>
          <w:color w:val="000000"/>
          <w:sz w:val="16"/>
          <w:szCs w:val="16"/>
        </w:rPr>
        <w:fldChar w:fldCharType="end"/>
      </w:r>
      <w:r>
        <w:rPr>
          <w:color w:val="000000"/>
        </w:rPr>
        <w:t xml:space="preserve"> Merck does not argue that the complaints failed to put it on notice of the Adverse Reactions claim, and that concession closes the door on any claim that the complaints themselves failed to adequately plead the Adverse Reactions theory.</w:t>
      </w:r>
    </w:p>
    <w:p w14:paraId="6111D2E7"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27C1E74C" w14:textId="77777777">
        <w:tblPrEx>
          <w:tblCellMar>
            <w:top w:w="0" w:type="dxa"/>
            <w:left w:w="0" w:type="dxa"/>
            <w:bottom w:w="0" w:type="dxa"/>
            <w:right w:w="0" w:type="dxa"/>
          </w:tblCellMar>
        </w:tblPrEx>
        <w:tc>
          <w:tcPr>
            <w:tcW w:w="600" w:type="dxa"/>
            <w:tcBorders>
              <w:top w:val="nil"/>
              <w:left w:val="nil"/>
              <w:bottom w:val="nil"/>
              <w:right w:val="nil"/>
            </w:tcBorders>
          </w:tcPr>
          <w:bookmarkStart w:id="333" w:name="co_footnote_B01662041287330_1"/>
          <w:bookmarkEnd w:id="333"/>
          <w:p w14:paraId="03D4E487"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"#co_footnoteReference_B01662041287330_ID0" </w:instrText>
            </w:r>
            <w:r w:rsidR="00F61700">
              <w:rPr>
                <w:color w:val="000000"/>
              </w:rPr>
            </w:r>
            <w:r>
              <w:rPr>
                <w:color w:val="000000"/>
              </w:rPr>
              <w:fldChar w:fldCharType="separate"/>
            </w:r>
            <w:r>
              <w:rPr>
                <w:color w:val="000000"/>
                <w:vertAlign w:val="superscript"/>
              </w:rPr>
              <w:t>165</w:t>
            </w:r>
            <w:r>
              <w:rPr>
                <w:color w:val="000000"/>
              </w:rPr>
              <w:fldChar w:fldCharType="end"/>
            </w:r>
          </w:p>
          <w:p w14:paraId="194FC525"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244AD577" w14:textId="77777777" w:rsidR="00793DC4" w:rsidRDefault="00793DC4">
            <w:pPr>
              <w:widowControl w:val="0"/>
              <w:autoSpaceDE w:val="0"/>
              <w:autoSpaceDN w:val="0"/>
              <w:adjustRightInd w:val="0"/>
              <w:jc w:val="both"/>
              <w:rPr>
                <w:color w:val="000000"/>
                <w:sz w:val="18"/>
                <w:szCs w:val="18"/>
              </w:rPr>
            </w:pPr>
            <w:r>
              <w:rPr>
                <w:color w:val="000000"/>
                <w:sz w:val="18"/>
                <w:szCs w:val="18"/>
              </w:rPr>
              <w:t xml:space="preserve">Although it does not appear to have been a basis for its decision, the District Court observed that a large number of Plaintiffs alleged injuries occurring after the FDA added the Adverse Reactions warning. According to the District Court, these Plaintiffs would only be able to assert a failure-to-warn claim based on the absence of a warning in the Warnings and Precautions section of the label. We disagree, as these Plaintiffs remain free to argue that their injuries were caused by their </w:t>
            </w:r>
            <w:r>
              <w:rPr>
                <w:i/>
                <w:iCs/>
                <w:color w:val="000000"/>
                <w:sz w:val="18"/>
                <w:szCs w:val="18"/>
              </w:rPr>
              <w:t>use</w:t>
            </w:r>
            <w:r>
              <w:rPr>
                <w:color w:val="000000"/>
                <w:sz w:val="18"/>
                <w:szCs w:val="18"/>
              </w:rPr>
              <w:t xml:space="preserve"> of </w:t>
            </w:r>
            <w:hyperlink r:id="rId479" w:history="1">
              <w:r>
                <w:rPr>
                  <w:color w:val="000000"/>
                  <w:sz w:val="18"/>
                  <w:szCs w:val="18"/>
                </w:rPr>
                <w:t>Fosamax</w:t>
              </w:r>
            </w:hyperlink>
            <w:r>
              <w:rPr>
                <w:color w:val="000000"/>
                <w:sz w:val="18"/>
                <w:szCs w:val="18"/>
              </w:rPr>
              <w:t xml:space="preserve"> prior to the addition of the Adverse Reactions warning.</w:t>
            </w:r>
          </w:p>
          <w:p w14:paraId="65EBF279" w14:textId="77777777" w:rsidR="00793DC4" w:rsidRDefault="00793DC4">
            <w:pPr>
              <w:widowControl w:val="0"/>
              <w:autoSpaceDE w:val="0"/>
              <w:autoSpaceDN w:val="0"/>
              <w:adjustRightInd w:val="0"/>
              <w:jc w:val="both"/>
              <w:rPr>
                <w:color w:val="000000"/>
                <w:sz w:val="18"/>
                <w:szCs w:val="18"/>
              </w:rPr>
            </w:pPr>
          </w:p>
        </w:tc>
      </w:tr>
    </w:tbl>
    <w:p w14:paraId="54D31232"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29133C42" w14:textId="77777777">
        <w:tblPrEx>
          <w:tblCellMar>
            <w:top w:w="0" w:type="dxa"/>
            <w:left w:w="0" w:type="dxa"/>
            <w:bottom w:w="0" w:type="dxa"/>
            <w:right w:w="0" w:type="dxa"/>
          </w:tblCellMar>
        </w:tblPrEx>
        <w:tc>
          <w:tcPr>
            <w:tcW w:w="600" w:type="dxa"/>
            <w:tcBorders>
              <w:top w:val="nil"/>
              <w:left w:val="nil"/>
              <w:bottom w:val="nil"/>
              <w:right w:val="nil"/>
            </w:tcBorders>
          </w:tcPr>
          <w:bookmarkStart w:id="334" w:name="co_footnote_B01672041287330_1"/>
          <w:bookmarkEnd w:id="334"/>
          <w:p w14:paraId="406DDBDC"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"#co_footnoteReference_B01672041287330_ID0" </w:instrText>
            </w:r>
            <w:r w:rsidR="00F61700">
              <w:rPr>
                <w:color w:val="000000"/>
              </w:rPr>
            </w:r>
            <w:r>
              <w:rPr>
                <w:color w:val="000000"/>
              </w:rPr>
              <w:fldChar w:fldCharType="separate"/>
            </w:r>
            <w:r>
              <w:rPr>
                <w:color w:val="000000"/>
                <w:vertAlign w:val="superscript"/>
              </w:rPr>
              <w:t>166</w:t>
            </w:r>
            <w:r>
              <w:rPr>
                <w:color w:val="000000"/>
              </w:rPr>
              <w:fldChar w:fldCharType="end"/>
            </w:r>
          </w:p>
          <w:p w14:paraId="51985CA4"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5D26D1A0" w14:textId="77777777" w:rsidR="00793DC4" w:rsidRDefault="00793DC4">
            <w:pPr>
              <w:widowControl w:val="0"/>
              <w:autoSpaceDE w:val="0"/>
              <w:autoSpaceDN w:val="0"/>
              <w:adjustRightInd w:val="0"/>
              <w:jc w:val="both"/>
              <w:rPr>
                <w:color w:val="000000"/>
                <w:sz w:val="18"/>
                <w:szCs w:val="18"/>
              </w:rPr>
            </w:pPr>
            <w:r>
              <w:rPr>
                <w:i/>
                <w:iCs/>
                <w:color w:val="000000"/>
                <w:sz w:val="18"/>
                <w:szCs w:val="18"/>
              </w:rPr>
              <w:t>See</w:t>
            </w:r>
            <w:r>
              <w:rPr>
                <w:color w:val="000000"/>
                <w:sz w:val="18"/>
                <w:szCs w:val="18"/>
              </w:rPr>
              <w:t xml:space="preserve"> A 2245 ¶ 54, 2249 ¶ 76, 2190 ¶ 123, 2333 ¶ 57.</w:t>
            </w:r>
          </w:p>
          <w:p w14:paraId="3544BCFE" w14:textId="77777777" w:rsidR="00793DC4" w:rsidRDefault="00793DC4">
            <w:pPr>
              <w:widowControl w:val="0"/>
              <w:autoSpaceDE w:val="0"/>
              <w:autoSpaceDN w:val="0"/>
              <w:adjustRightInd w:val="0"/>
              <w:jc w:val="both"/>
              <w:rPr>
                <w:color w:val="000000"/>
                <w:sz w:val="18"/>
                <w:szCs w:val="18"/>
              </w:rPr>
            </w:pPr>
          </w:p>
        </w:tc>
      </w:tr>
    </w:tbl>
    <w:p w14:paraId="61FB7D9A"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70616DBE" w14:textId="77777777">
        <w:tblPrEx>
          <w:tblCellMar>
            <w:top w:w="0" w:type="dxa"/>
            <w:left w:w="0" w:type="dxa"/>
            <w:bottom w:w="0" w:type="dxa"/>
            <w:right w:w="0" w:type="dxa"/>
          </w:tblCellMar>
        </w:tblPrEx>
        <w:tc>
          <w:tcPr>
            <w:tcW w:w="600" w:type="dxa"/>
            <w:tcBorders>
              <w:top w:val="nil"/>
              <w:left w:val="nil"/>
              <w:bottom w:val="nil"/>
              <w:right w:val="nil"/>
            </w:tcBorders>
          </w:tcPr>
          <w:bookmarkStart w:id="335" w:name="co_footnote_B01682041287330_1"/>
          <w:bookmarkEnd w:id="335"/>
          <w:p w14:paraId="080E5DAE"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"#co_footnoteReference_B01682041287330_ID0" </w:instrText>
            </w:r>
            <w:r w:rsidR="00F61700">
              <w:rPr>
                <w:color w:val="000000"/>
              </w:rPr>
            </w:r>
            <w:r>
              <w:rPr>
                <w:color w:val="000000"/>
              </w:rPr>
              <w:fldChar w:fldCharType="separate"/>
            </w:r>
            <w:r>
              <w:rPr>
                <w:color w:val="000000"/>
                <w:vertAlign w:val="superscript"/>
              </w:rPr>
              <w:t>167</w:t>
            </w:r>
            <w:r>
              <w:rPr>
                <w:color w:val="000000"/>
              </w:rPr>
              <w:fldChar w:fldCharType="end"/>
            </w:r>
          </w:p>
          <w:p w14:paraId="2A2CA2CC"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0D6E23A2" w14:textId="77777777" w:rsidR="00793DC4" w:rsidRDefault="00793DC4">
            <w:pPr>
              <w:widowControl w:val="0"/>
              <w:autoSpaceDE w:val="0"/>
              <w:autoSpaceDN w:val="0"/>
              <w:adjustRightInd w:val="0"/>
              <w:jc w:val="both"/>
              <w:rPr>
                <w:color w:val="000000"/>
                <w:sz w:val="18"/>
                <w:szCs w:val="18"/>
              </w:rPr>
            </w:pPr>
            <w:r>
              <w:rPr>
                <w:i/>
                <w:iCs/>
                <w:color w:val="000000"/>
                <w:sz w:val="18"/>
                <w:szCs w:val="18"/>
              </w:rPr>
              <w:t xml:space="preserve">See </w:t>
            </w:r>
            <w:hyperlink r:id="rId480" w:history="1">
              <w:r>
                <w:rPr>
                  <w:i/>
                  <w:iCs/>
                  <w:color w:val="000000"/>
                  <w:sz w:val="18"/>
                  <w:szCs w:val="18"/>
                </w:rPr>
                <w:t xml:space="preserve">Oneida Indian Nation v. </w:t>
              </w:r>
              <w:proofErr w:type="spellStart"/>
              <w:r>
                <w:rPr>
                  <w:i/>
                  <w:iCs/>
                  <w:color w:val="000000"/>
                  <w:sz w:val="18"/>
                  <w:szCs w:val="18"/>
                </w:rPr>
                <w:t>Cty</w:t>
              </w:r>
              <w:proofErr w:type="spellEnd"/>
              <w:r>
                <w:rPr>
                  <w:i/>
                  <w:iCs/>
                  <w:color w:val="000000"/>
                  <w:sz w:val="18"/>
                  <w:szCs w:val="18"/>
                </w:rPr>
                <w:t xml:space="preserve">. </w:t>
              </w:r>
              <w:proofErr w:type="gramStart"/>
              <w:r>
                <w:rPr>
                  <w:i/>
                  <w:iCs/>
                  <w:color w:val="000000"/>
                  <w:sz w:val="18"/>
                  <w:szCs w:val="18"/>
                </w:rPr>
                <w:t>of</w:t>
              </w:r>
              <w:proofErr w:type="gramEnd"/>
              <w:r>
                <w:rPr>
                  <w:i/>
                  <w:iCs/>
                  <w:color w:val="000000"/>
                  <w:sz w:val="18"/>
                  <w:szCs w:val="18"/>
                </w:rPr>
                <w:t xml:space="preserve"> Oneida</w:t>
              </w:r>
              <w:r>
                <w:rPr>
                  <w:color w:val="000000"/>
                  <w:sz w:val="18"/>
                  <w:szCs w:val="18"/>
                </w:rPr>
                <w:t>, 617 F.3d 114, 132 (2d Cir. 2010)</w:t>
              </w:r>
            </w:hyperlink>
            <w:r>
              <w:rPr>
                <w:color w:val="000000"/>
                <w:sz w:val="18"/>
                <w:szCs w:val="18"/>
              </w:rPr>
              <w:t xml:space="preserve"> (complaint need not specify the legal theory underlying its claims so long as it contains sufficient facts to support liability); </w:t>
            </w:r>
            <w:hyperlink r:id="rId481" w:history="1">
              <w:proofErr w:type="spellStart"/>
              <w:r>
                <w:rPr>
                  <w:i/>
                  <w:iCs/>
                  <w:color w:val="000000"/>
                  <w:sz w:val="18"/>
                  <w:szCs w:val="18"/>
                </w:rPr>
                <w:t>Kirksey</w:t>
              </w:r>
              <w:proofErr w:type="spellEnd"/>
              <w:r>
                <w:rPr>
                  <w:i/>
                  <w:iCs/>
                  <w:color w:val="000000"/>
                  <w:sz w:val="18"/>
                  <w:szCs w:val="18"/>
                </w:rPr>
                <w:t xml:space="preserve"> v. R.J. Reynolds Tobacco Co</w:t>
              </w:r>
              <w:r>
                <w:rPr>
                  <w:color w:val="000000"/>
                  <w:sz w:val="18"/>
                  <w:szCs w:val="18"/>
                </w:rPr>
                <w:t>., 168 F.3d 1039, 1041 (7th Cir. 1999)</w:t>
              </w:r>
            </w:hyperlink>
            <w:r>
              <w:rPr>
                <w:color w:val="000000"/>
                <w:sz w:val="18"/>
                <w:szCs w:val="18"/>
              </w:rPr>
              <w:t xml:space="preserve"> (same).</w:t>
            </w:r>
          </w:p>
          <w:p w14:paraId="5559C82E" w14:textId="77777777" w:rsidR="00793DC4" w:rsidRDefault="00793DC4">
            <w:pPr>
              <w:widowControl w:val="0"/>
              <w:autoSpaceDE w:val="0"/>
              <w:autoSpaceDN w:val="0"/>
              <w:adjustRightInd w:val="0"/>
              <w:jc w:val="both"/>
              <w:rPr>
                <w:color w:val="000000"/>
                <w:sz w:val="18"/>
                <w:szCs w:val="18"/>
              </w:rPr>
            </w:pPr>
          </w:p>
        </w:tc>
      </w:tr>
    </w:tbl>
    <w:p w14:paraId="64BBF47A" w14:textId="77777777" w:rsidR="00793DC4" w:rsidRDefault="00793DC4">
      <w:pPr>
        <w:widowControl w:val="0"/>
        <w:autoSpaceDE w:val="0"/>
        <w:autoSpaceDN w:val="0"/>
        <w:adjustRightInd w:val="0"/>
        <w:jc w:val="both"/>
        <w:rPr>
          <w:color w:val="000000"/>
        </w:rPr>
      </w:pPr>
    </w:p>
    <w:p w14:paraId="199EE03D" w14:textId="77777777" w:rsidR="00793DC4" w:rsidRDefault="00793DC4">
      <w:pPr>
        <w:widowControl w:val="0"/>
        <w:autoSpaceDE w:val="0"/>
        <w:autoSpaceDN w:val="0"/>
        <w:adjustRightInd w:val="0"/>
        <w:jc w:val="both"/>
        <w:rPr>
          <w:color w:val="000000"/>
        </w:rPr>
      </w:pPr>
      <w:hyperlink r:id="rId482" w:history="1">
        <w:r>
          <w:rPr>
            <w:b/>
            <w:bCs/>
            <w:color w:val="000000"/>
            <w:vertAlign w:val="superscript"/>
          </w:rPr>
          <w:t>[16]</w:t>
        </w:r>
      </w:hyperlink>
      <w:r>
        <w:rPr>
          <w:color w:val="000000"/>
        </w:rPr>
        <w:t xml:space="preserve">The District Court also stated, without elaboration, that Plaintiffs had failed to “set forth evidence indicating that any doctor would not have prescribed </w:t>
      </w:r>
      <w:hyperlink r:id="rId483" w:history="1">
        <w:r>
          <w:rPr>
            <w:color w:val="000000"/>
          </w:rPr>
          <w:t>Fosamax</w:t>
        </w:r>
      </w:hyperlink>
      <w:r>
        <w:rPr>
          <w:color w:val="000000"/>
        </w:rPr>
        <w:t xml:space="preserve"> if the occurrence of low-energy </w:t>
      </w:r>
      <w:hyperlink r:id="rId484" w:history="1">
        <w:r>
          <w:rPr>
            <w:color w:val="000000"/>
          </w:rPr>
          <w:t>femoral shaft fractures</w:t>
        </w:r>
      </w:hyperlink>
      <w:r>
        <w:rPr>
          <w:color w:val="000000"/>
        </w:rPr>
        <w:t xml:space="preserve"> had been mentioned in the Adverse Reactions section prior to 2009.”</w:t>
      </w:r>
      <w:bookmarkStart w:id="336" w:name="co_footnoteReference_B01692041287330_ID0"/>
      <w:bookmarkEnd w:id="336"/>
      <w:r>
        <w:rPr>
          <w:color w:val="000000"/>
          <w:sz w:val="16"/>
          <w:szCs w:val="16"/>
        </w:rPr>
        <w:fldChar w:fldCharType="begin"/>
      </w:r>
      <w:r>
        <w:rPr>
          <w:color w:val="000000"/>
          <w:sz w:val="16"/>
          <w:szCs w:val="16"/>
        </w:rPr>
        <w:instrText xml:space="preserve">HYPERLINK "#co_footnote_B01692041287330_1" </w:instrText>
      </w:r>
      <w:r w:rsidR="00F61700">
        <w:rPr>
          <w:color w:val="000000"/>
          <w:sz w:val="16"/>
          <w:szCs w:val="16"/>
        </w:rPr>
      </w:r>
      <w:r>
        <w:rPr>
          <w:color w:val="000000"/>
          <w:sz w:val="16"/>
          <w:szCs w:val="16"/>
        </w:rPr>
        <w:fldChar w:fldCharType="separate"/>
      </w:r>
      <w:r>
        <w:rPr>
          <w:color w:val="000000"/>
          <w:sz w:val="16"/>
          <w:szCs w:val="16"/>
          <w:vertAlign w:val="superscript"/>
        </w:rPr>
        <w:t>168</w:t>
      </w:r>
      <w:r>
        <w:rPr>
          <w:color w:val="000000"/>
          <w:sz w:val="16"/>
          <w:szCs w:val="16"/>
        </w:rPr>
        <w:fldChar w:fldCharType="end"/>
      </w:r>
      <w:r>
        <w:rPr>
          <w:color w:val="000000"/>
        </w:rPr>
        <w:t xml:space="preserve"> Even if </w:t>
      </w:r>
      <w:proofErr w:type="gramStart"/>
      <w:r>
        <w:rPr>
          <w:color w:val="000000"/>
        </w:rPr>
        <w:t>true,</w:t>
      </w:r>
      <w:proofErr w:type="gramEnd"/>
      <w:r>
        <w:rPr>
          <w:color w:val="000000"/>
        </w:rPr>
        <w:t xml:space="preserve"> this does not justify summary judgment on the merits. The proper inquiry for summary judgment purposes is whether there was sufficient evidence to permit a reasonable juror to conclude that a doctor would not have prescribed </w:t>
      </w:r>
      <w:hyperlink r:id="rId485" w:history="1">
        <w:r>
          <w:rPr>
            <w:color w:val="000000"/>
          </w:rPr>
          <w:t>Fosamax</w:t>
        </w:r>
      </w:hyperlink>
      <w:r>
        <w:rPr>
          <w:color w:val="000000"/>
        </w:rPr>
        <w:t xml:space="preserve"> if fracture language had been added to the Adverse Reactions section prior to 2009. To this end, Plaintiffs submitted several declarations from their treating physicians declaring that if they had been informed that </w:t>
      </w:r>
      <w:hyperlink r:id="rId486" w:history="1">
        <w:r>
          <w:rPr>
            <w:color w:val="000000"/>
          </w:rPr>
          <w:t>Fosamax</w:t>
        </w:r>
      </w:hyperlink>
      <w:r>
        <w:rPr>
          <w:color w:val="000000"/>
        </w:rPr>
        <w:t xml:space="preserve"> posed a risk of </w:t>
      </w:r>
      <w:hyperlink r:id="rId487" w:history="1">
        <w:r>
          <w:rPr>
            <w:color w:val="000000"/>
          </w:rPr>
          <w:t>femoral fractures</w:t>
        </w:r>
      </w:hyperlink>
      <w:r>
        <w:rPr>
          <w:color w:val="000000"/>
        </w:rPr>
        <w:t xml:space="preserve">, they likely would not have prescribed </w:t>
      </w:r>
      <w:hyperlink r:id="rId488" w:history="1">
        <w:r>
          <w:rPr>
            <w:color w:val="000000"/>
          </w:rPr>
          <w:t>Fosamax</w:t>
        </w:r>
      </w:hyperlink>
      <w:r>
        <w:rPr>
          <w:color w:val="000000"/>
        </w:rPr>
        <w:t xml:space="preserve"> or likely would have discontinued treatment.</w:t>
      </w:r>
      <w:bookmarkStart w:id="337" w:name="co_footnoteReference_B01702041287330_ID0"/>
      <w:bookmarkEnd w:id="337"/>
      <w:r>
        <w:rPr>
          <w:color w:val="000000"/>
          <w:sz w:val="16"/>
          <w:szCs w:val="16"/>
        </w:rPr>
        <w:fldChar w:fldCharType="begin"/>
      </w:r>
      <w:r>
        <w:rPr>
          <w:color w:val="000000"/>
          <w:sz w:val="16"/>
          <w:szCs w:val="16"/>
        </w:rPr>
        <w:instrText xml:space="preserve">HYPERLINK "#co_footnote_B01702041287330_1" </w:instrText>
      </w:r>
      <w:r w:rsidR="00F61700">
        <w:rPr>
          <w:color w:val="000000"/>
          <w:sz w:val="16"/>
          <w:szCs w:val="16"/>
        </w:rPr>
      </w:r>
      <w:r>
        <w:rPr>
          <w:color w:val="000000"/>
          <w:sz w:val="16"/>
          <w:szCs w:val="16"/>
        </w:rPr>
        <w:fldChar w:fldCharType="separate"/>
      </w:r>
      <w:r>
        <w:rPr>
          <w:color w:val="000000"/>
          <w:sz w:val="16"/>
          <w:szCs w:val="16"/>
          <w:vertAlign w:val="superscript"/>
        </w:rPr>
        <w:t>169</w:t>
      </w:r>
      <w:r>
        <w:rPr>
          <w:color w:val="000000"/>
          <w:sz w:val="16"/>
          <w:szCs w:val="16"/>
        </w:rPr>
        <w:fldChar w:fldCharType="end"/>
      </w:r>
      <w:r>
        <w:rPr>
          <w:color w:val="000000"/>
        </w:rPr>
        <w:t xml:space="preserve"> These declarations do not specify which sections of the label should have contained such a warning. A reasonable juror could conclude that some of these physicians would not have prescribed </w:t>
      </w:r>
      <w:hyperlink r:id="rId489" w:history="1">
        <w:r>
          <w:rPr>
            <w:color w:val="000000"/>
          </w:rPr>
          <w:t>Fosamax</w:t>
        </w:r>
      </w:hyperlink>
      <w:r>
        <w:rPr>
          <w:color w:val="000000"/>
        </w:rPr>
        <w:t xml:space="preserve"> if </w:t>
      </w:r>
      <w:r>
        <w:rPr>
          <w:b/>
          <w:bCs/>
          <w:color w:val="000000"/>
        </w:rPr>
        <w:t>*302</w:t>
      </w:r>
      <w:r>
        <w:rPr>
          <w:color w:val="000000"/>
        </w:rPr>
        <w:t xml:space="preserve"> atypical femur fractures had been listed in the Adverse Reactions section. Accordingly, the District Court should not have granted Merck summary judgment on the merits of Plaintiffs’ Adverse Reactions failure-to-warn claims.</w:t>
      </w:r>
    </w:p>
    <w:p w14:paraId="7F0D378F"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20243835" w14:textId="77777777">
        <w:tblPrEx>
          <w:tblCellMar>
            <w:top w:w="0" w:type="dxa"/>
            <w:left w:w="0" w:type="dxa"/>
            <w:bottom w:w="0" w:type="dxa"/>
            <w:right w:w="0" w:type="dxa"/>
          </w:tblCellMar>
        </w:tblPrEx>
        <w:tc>
          <w:tcPr>
            <w:tcW w:w="600" w:type="dxa"/>
            <w:tcBorders>
              <w:top w:val="nil"/>
              <w:left w:val="nil"/>
              <w:bottom w:val="nil"/>
              <w:right w:val="nil"/>
            </w:tcBorders>
          </w:tcPr>
          <w:bookmarkStart w:id="338" w:name="co_footnote_B01692041287330_1"/>
          <w:bookmarkEnd w:id="338"/>
          <w:p w14:paraId="39195A04"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"#co_footnoteReference_B01692041287330_ID0" </w:instrText>
            </w:r>
            <w:r w:rsidR="00F61700">
              <w:rPr>
                <w:color w:val="000000"/>
              </w:rPr>
            </w:r>
            <w:r>
              <w:rPr>
                <w:color w:val="000000"/>
              </w:rPr>
              <w:fldChar w:fldCharType="separate"/>
            </w:r>
            <w:r>
              <w:rPr>
                <w:color w:val="000000"/>
                <w:vertAlign w:val="superscript"/>
              </w:rPr>
              <w:t>168</w:t>
            </w:r>
            <w:r>
              <w:rPr>
                <w:color w:val="000000"/>
              </w:rPr>
              <w:fldChar w:fldCharType="end"/>
            </w:r>
          </w:p>
          <w:p w14:paraId="1C9F290B"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20F63974" w14:textId="77777777" w:rsidR="00793DC4" w:rsidRDefault="00793DC4">
            <w:pPr>
              <w:widowControl w:val="0"/>
              <w:autoSpaceDE w:val="0"/>
              <w:autoSpaceDN w:val="0"/>
              <w:adjustRightInd w:val="0"/>
              <w:jc w:val="both"/>
              <w:rPr>
                <w:color w:val="000000"/>
                <w:sz w:val="18"/>
                <w:szCs w:val="18"/>
              </w:rPr>
            </w:pPr>
            <w:hyperlink r:id="rId490" w:history="1">
              <w:r>
                <w:rPr>
                  <w:i/>
                  <w:iCs/>
                  <w:color w:val="000000"/>
                  <w:sz w:val="18"/>
                  <w:szCs w:val="18"/>
                </w:rPr>
                <w:t>Summary Judgment Order</w:t>
              </w:r>
              <w:r>
                <w:rPr>
                  <w:color w:val="000000"/>
                  <w:sz w:val="18"/>
                  <w:szCs w:val="18"/>
                </w:rPr>
                <w:t>, 2014 WL 1266994, at *15</w:t>
              </w:r>
            </w:hyperlink>
            <w:r>
              <w:rPr>
                <w:color w:val="000000"/>
                <w:sz w:val="18"/>
                <w:szCs w:val="18"/>
              </w:rPr>
              <w:t>.</w:t>
            </w:r>
          </w:p>
          <w:p w14:paraId="2106E24C" w14:textId="77777777" w:rsidR="00793DC4" w:rsidRDefault="00793DC4">
            <w:pPr>
              <w:widowControl w:val="0"/>
              <w:autoSpaceDE w:val="0"/>
              <w:autoSpaceDN w:val="0"/>
              <w:adjustRightInd w:val="0"/>
              <w:jc w:val="both"/>
              <w:rPr>
                <w:color w:val="000000"/>
                <w:sz w:val="18"/>
                <w:szCs w:val="18"/>
              </w:rPr>
            </w:pPr>
          </w:p>
        </w:tc>
      </w:tr>
    </w:tbl>
    <w:p w14:paraId="288CFE61"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6C64C1CE" w14:textId="77777777">
        <w:tblPrEx>
          <w:tblCellMar>
            <w:top w:w="0" w:type="dxa"/>
            <w:left w:w="0" w:type="dxa"/>
            <w:bottom w:w="0" w:type="dxa"/>
            <w:right w:w="0" w:type="dxa"/>
          </w:tblCellMar>
        </w:tblPrEx>
        <w:tc>
          <w:tcPr>
            <w:tcW w:w="600" w:type="dxa"/>
            <w:tcBorders>
              <w:top w:val="nil"/>
              <w:left w:val="nil"/>
              <w:bottom w:val="nil"/>
              <w:right w:val="nil"/>
            </w:tcBorders>
          </w:tcPr>
          <w:bookmarkStart w:id="339" w:name="co_footnote_B01702041287330_1"/>
          <w:bookmarkEnd w:id="339"/>
          <w:p w14:paraId="4407A0C3"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"#co_footnoteReference_B01702041287330_ID0" </w:instrText>
            </w:r>
            <w:r w:rsidR="00F61700">
              <w:rPr>
                <w:color w:val="000000"/>
              </w:rPr>
            </w:r>
            <w:r>
              <w:rPr>
                <w:color w:val="000000"/>
              </w:rPr>
              <w:fldChar w:fldCharType="separate"/>
            </w:r>
            <w:r>
              <w:rPr>
                <w:color w:val="000000"/>
                <w:vertAlign w:val="superscript"/>
              </w:rPr>
              <w:t>169</w:t>
            </w:r>
            <w:r>
              <w:rPr>
                <w:color w:val="000000"/>
              </w:rPr>
              <w:fldChar w:fldCharType="end"/>
            </w:r>
          </w:p>
          <w:p w14:paraId="73AF244A"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211027B7" w14:textId="77777777" w:rsidR="00793DC4" w:rsidRDefault="00793DC4">
            <w:pPr>
              <w:widowControl w:val="0"/>
              <w:autoSpaceDE w:val="0"/>
              <w:autoSpaceDN w:val="0"/>
              <w:adjustRightInd w:val="0"/>
              <w:jc w:val="both"/>
              <w:rPr>
                <w:color w:val="000000"/>
                <w:sz w:val="18"/>
                <w:szCs w:val="18"/>
              </w:rPr>
            </w:pPr>
            <w:r>
              <w:rPr>
                <w:i/>
                <w:iCs/>
                <w:color w:val="000000"/>
                <w:sz w:val="18"/>
                <w:szCs w:val="18"/>
              </w:rPr>
              <w:t>See</w:t>
            </w:r>
            <w:r>
              <w:rPr>
                <w:color w:val="000000"/>
                <w:sz w:val="18"/>
                <w:szCs w:val="18"/>
              </w:rPr>
              <w:t xml:space="preserve">, </w:t>
            </w:r>
            <w:r>
              <w:rPr>
                <w:i/>
                <w:iCs/>
                <w:color w:val="000000"/>
                <w:sz w:val="18"/>
                <w:szCs w:val="18"/>
              </w:rPr>
              <w:t>e.g.</w:t>
            </w:r>
            <w:r>
              <w:rPr>
                <w:color w:val="000000"/>
                <w:sz w:val="18"/>
                <w:szCs w:val="18"/>
              </w:rPr>
              <w:t>, A 792 ¶ 10, 794 ¶ 9, 796-97 ¶ 9, 798 ¶ 8.</w:t>
            </w:r>
          </w:p>
          <w:p w14:paraId="03D062A3" w14:textId="77777777" w:rsidR="00793DC4" w:rsidRDefault="00793DC4">
            <w:pPr>
              <w:widowControl w:val="0"/>
              <w:autoSpaceDE w:val="0"/>
              <w:autoSpaceDN w:val="0"/>
              <w:adjustRightInd w:val="0"/>
              <w:jc w:val="both"/>
              <w:rPr>
                <w:color w:val="000000"/>
                <w:sz w:val="18"/>
                <w:szCs w:val="18"/>
              </w:rPr>
            </w:pPr>
          </w:p>
        </w:tc>
      </w:tr>
    </w:tbl>
    <w:p w14:paraId="706BFDAF" w14:textId="77777777" w:rsidR="00793DC4" w:rsidRDefault="00793DC4">
      <w:pPr>
        <w:widowControl w:val="0"/>
        <w:autoSpaceDE w:val="0"/>
        <w:autoSpaceDN w:val="0"/>
        <w:adjustRightInd w:val="0"/>
        <w:jc w:val="both"/>
        <w:rPr>
          <w:color w:val="000000"/>
        </w:rPr>
      </w:pPr>
    </w:p>
    <w:p w14:paraId="79F01A88" w14:textId="77777777" w:rsidR="00793DC4" w:rsidRDefault="00793DC4">
      <w:pPr>
        <w:widowControl w:val="0"/>
        <w:autoSpaceDE w:val="0"/>
        <w:autoSpaceDN w:val="0"/>
        <w:adjustRightInd w:val="0"/>
        <w:jc w:val="both"/>
        <w:rPr>
          <w:color w:val="000000"/>
        </w:rPr>
      </w:pPr>
      <w:hyperlink r:id="rId491" w:history="1">
        <w:r>
          <w:rPr>
            <w:b/>
            <w:bCs/>
            <w:color w:val="000000"/>
            <w:vertAlign w:val="superscript"/>
          </w:rPr>
          <w:t>[17]</w:t>
        </w:r>
      </w:hyperlink>
      <w:bookmarkStart w:id="340" w:name="_GoBack"/>
      <w:r>
        <w:rPr>
          <w:color w:val="000000"/>
        </w:rPr>
        <w:t xml:space="preserve">There is a deeper problem lurking in the District Court’s decision to grant Merck a merits judgment in all of the MDL cases. A mass tort MDL is not a class action. It is a collection of separate lawsuits that are coordinated for pretrial proceedings—and </w:t>
      </w:r>
      <w:r>
        <w:rPr>
          <w:i/>
          <w:iCs/>
          <w:color w:val="000000"/>
        </w:rPr>
        <w:t>only</w:t>
      </w:r>
      <w:r>
        <w:rPr>
          <w:color w:val="000000"/>
        </w:rPr>
        <w:t xml:space="preserve"> pretrial proceedings—before being remanded to their respective transferor courts.</w:t>
      </w:r>
      <w:bookmarkStart w:id="341" w:name="co_footnoteReference_B01712041287330_ID0"/>
      <w:bookmarkEnd w:id="341"/>
      <w:r>
        <w:rPr>
          <w:color w:val="000000"/>
          <w:sz w:val="16"/>
          <w:szCs w:val="16"/>
        </w:rPr>
        <w:fldChar w:fldCharType="begin"/>
      </w:r>
      <w:r>
        <w:rPr>
          <w:color w:val="000000"/>
          <w:sz w:val="16"/>
          <w:szCs w:val="16"/>
        </w:rPr>
        <w:instrText xml:space="preserve">HYPERLINK "#co_footnote_B01712041287330_1" </w:instrText>
      </w:r>
      <w:r w:rsidR="00F61700">
        <w:rPr>
          <w:color w:val="000000"/>
          <w:sz w:val="16"/>
          <w:szCs w:val="16"/>
        </w:rPr>
      </w:r>
      <w:r>
        <w:rPr>
          <w:color w:val="000000"/>
          <w:sz w:val="16"/>
          <w:szCs w:val="16"/>
        </w:rPr>
        <w:fldChar w:fldCharType="separate"/>
      </w:r>
      <w:r>
        <w:rPr>
          <w:color w:val="000000"/>
          <w:sz w:val="16"/>
          <w:szCs w:val="16"/>
          <w:vertAlign w:val="superscript"/>
        </w:rPr>
        <w:t>170</w:t>
      </w:r>
      <w:r>
        <w:rPr>
          <w:color w:val="000000"/>
          <w:sz w:val="16"/>
          <w:szCs w:val="16"/>
        </w:rPr>
        <w:fldChar w:fldCharType="end"/>
      </w:r>
      <w:r>
        <w:rPr>
          <w:color w:val="000000"/>
        </w:rPr>
        <w:t xml:space="preserve"> Some purely legal issues may apply in every case. But merits questions that are predicated on the existence or nonexistence of historical facts unique to each Plaintiff—</w:t>
      </w:r>
      <w:r>
        <w:rPr>
          <w:i/>
          <w:iCs/>
          <w:color w:val="000000"/>
        </w:rPr>
        <w:t>e.g</w:t>
      </w:r>
      <w:r>
        <w:rPr>
          <w:color w:val="000000"/>
        </w:rPr>
        <w:t xml:space="preserve">., whether a particular Plaintiff’s doctor would have read a warning in the Adverse Reactions section and ceased prescribing </w:t>
      </w:r>
      <w:hyperlink r:id="rId492" w:history="1">
        <w:r>
          <w:rPr>
            <w:color w:val="000000"/>
          </w:rPr>
          <w:t>Fosamax</w:t>
        </w:r>
      </w:hyperlink>
      <w:r>
        <w:rPr>
          <w:color w:val="000000"/>
        </w:rPr>
        <w:t xml:space="preserve"> as a result—generally are not amenable to across-the-board resolution. Each Plaintiff deserves the opportunity to develop those </w:t>
      </w:r>
      <w:proofErr w:type="gramStart"/>
      <w:r>
        <w:rPr>
          <w:color w:val="000000"/>
        </w:rPr>
        <w:t>sort</w:t>
      </w:r>
      <w:proofErr w:type="gramEnd"/>
      <w:r>
        <w:rPr>
          <w:color w:val="000000"/>
        </w:rPr>
        <w:t xml:space="preserve"> of facts separately, and the District Court’s understandable desire to streamline proceedings cannot override the Plaintiffs’ basic trial rights.</w:t>
      </w:r>
      <w:bookmarkStart w:id="342" w:name="co_footnoteReference_B01722041287330_ID0"/>
      <w:bookmarkEnd w:id="342"/>
      <w:r>
        <w:rPr>
          <w:color w:val="000000"/>
          <w:sz w:val="16"/>
          <w:szCs w:val="16"/>
        </w:rPr>
        <w:fldChar w:fldCharType="begin"/>
      </w:r>
      <w:r>
        <w:rPr>
          <w:color w:val="000000"/>
          <w:sz w:val="16"/>
          <w:szCs w:val="16"/>
        </w:rPr>
        <w:instrText xml:space="preserve">HYPERLINK "#co_footnote_B01722041287330_1" </w:instrText>
      </w:r>
      <w:r w:rsidR="00F61700">
        <w:rPr>
          <w:color w:val="000000"/>
          <w:sz w:val="16"/>
          <w:szCs w:val="16"/>
        </w:rPr>
      </w:r>
      <w:r>
        <w:rPr>
          <w:color w:val="000000"/>
          <w:sz w:val="16"/>
          <w:szCs w:val="16"/>
        </w:rPr>
        <w:fldChar w:fldCharType="separate"/>
      </w:r>
      <w:r>
        <w:rPr>
          <w:color w:val="000000"/>
          <w:sz w:val="16"/>
          <w:szCs w:val="16"/>
          <w:vertAlign w:val="superscript"/>
        </w:rPr>
        <w:t>171</w:t>
      </w:r>
      <w:r>
        <w:rPr>
          <w:color w:val="000000"/>
          <w:sz w:val="16"/>
          <w:szCs w:val="16"/>
        </w:rPr>
        <w:fldChar w:fldCharType="end"/>
      </w:r>
      <w:r>
        <w:rPr>
          <w:color w:val="000000"/>
        </w:rPr>
        <w:t xml:space="preserve"> As a technical matter, Merck’s </w:t>
      </w:r>
      <w:r>
        <w:rPr>
          <w:i/>
          <w:iCs/>
          <w:color w:val="000000"/>
        </w:rPr>
        <w:t>actual</w:t>
      </w:r>
      <w:r>
        <w:rPr>
          <w:color w:val="000000"/>
        </w:rPr>
        <w:t xml:space="preserve"> burden at the summary judgment stage was to prove that there is no genuine dispute in </w:t>
      </w:r>
      <w:r>
        <w:rPr>
          <w:i/>
          <w:iCs/>
          <w:color w:val="000000"/>
        </w:rPr>
        <w:t>every single MDL case</w:t>
      </w:r>
      <w:r>
        <w:rPr>
          <w:color w:val="000000"/>
        </w:rPr>
        <w:t xml:space="preserve"> that Plaintiffs’ doctors would have continued to prescribe </w:t>
      </w:r>
      <w:hyperlink r:id="rId493" w:history="1">
        <w:r>
          <w:rPr>
            <w:color w:val="000000"/>
          </w:rPr>
          <w:t>Fosamax</w:t>
        </w:r>
      </w:hyperlink>
      <w:r>
        <w:rPr>
          <w:color w:val="000000"/>
        </w:rPr>
        <w:t xml:space="preserve"> even if the fracture warning had been added to the Adverse Reactions section before May 2009. It could not do so, and the District Court’s grant of summary judgment on the merits was therefore erroneous.</w:t>
      </w:r>
    </w:p>
    <w:bookmarkEnd w:id="340"/>
    <w:p w14:paraId="0B36CC45"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4207A6F7" w14:textId="77777777">
        <w:tblPrEx>
          <w:tblCellMar>
            <w:top w:w="0" w:type="dxa"/>
            <w:left w:w="0" w:type="dxa"/>
            <w:bottom w:w="0" w:type="dxa"/>
            <w:right w:w="0" w:type="dxa"/>
          </w:tblCellMar>
        </w:tblPrEx>
        <w:tc>
          <w:tcPr>
            <w:tcW w:w="600" w:type="dxa"/>
            <w:tcBorders>
              <w:top w:val="nil"/>
              <w:left w:val="nil"/>
              <w:bottom w:val="nil"/>
              <w:right w:val="nil"/>
            </w:tcBorders>
          </w:tcPr>
          <w:bookmarkStart w:id="343" w:name="co_footnote_B01712041287330_1"/>
          <w:bookmarkEnd w:id="343"/>
          <w:p w14:paraId="50472618"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"#co_footnoteReference_B01712041287330_ID0" </w:instrText>
            </w:r>
            <w:r w:rsidR="00F61700">
              <w:rPr>
                <w:color w:val="000000"/>
              </w:rPr>
            </w:r>
            <w:r>
              <w:rPr>
                <w:color w:val="000000"/>
              </w:rPr>
              <w:fldChar w:fldCharType="separate"/>
            </w:r>
            <w:r>
              <w:rPr>
                <w:color w:val="000000"/>
                <w:vertAlign w:val="superscript"/>
              </w:rPr>
              <w:t>170</w:t>
            </w:r>
            <w:r>
              <w:rPr>
                <w:color w:val="000000"/>
              </w:rPr>
              <w:fldChar w:fldCharType="end"/>
            </w:r>
          </w:p>
          <w:p w14:paraId="548D34F1"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4834F3AB" w14:textId="77777777" w:rsidR="00793DC4" w:rsidRDefault="00793DC4">
            <w:pPr>
              <w:widowControl w:val="0"/>
              <w:autoSpaceDE w:val="0"/>
              <w:autoSpaceDN w:val="0"/>
              <w:adjustRightInd w:val="0"/>
              <w:jc w:val="both"/>
              <w:rPr>
                <w:color w:val="000000"/>
                <w:sz w:val="18"/>
                <w:szCs w:val="18"/>
              </w:rPr>
            </w:pPr>
            <w:hyperlink r:id="rId494" w:history="1">
              <w:r>
                <w:rPr>
                  <w:color w:val="000000"/>
                  <w:sz w:val="18"/>
                  <w:szCs w:val="18"/>
                </w:rPr>
                <w:t>28 U.S.C. § 1407(a)</w:t>
              </w:r>
            </w:hyperlink>
            <w:r>
              <w:rPr>
                <w:color w:val="000000"/>
                <w:sz w:val="18"/>
                <w:szCs w:val="18"/>
              </w:rPr>
              <w:t>.</w:t>
            </w:r>
          </w:p>
          <w:p w14:paraId="3274B319" w14:textId="77777777" w:rsidR="00793DC4" w:rsidRDefault="00793DC4">
            <w:pPr>
              <w:widowControl w:val="0"/>
              <w:autoSpaceDE w:val="0"/>
              <w:autoSpaceDN w:val="0"/>
              <w:adjustRightInd w:val="0"/>
              <w:jc w:val="both"/>
              <w:rPr>
                <w:color w:val="000000"/>
                <w:sz w:val="18"/>
                <w:szCs w:val="18"/>
              </w:rPr>
            </w:pPr>
          </w:p>
        </w:tc>
      </w:tr>
    </w:tbl>
    <w:p w14:paraId="3A9D2640" w14:textId="77777777" w:rsidR="00793DC4" w:rsidRDefault="00793DC4">
      <w:pPr>
        <w:widowControl w:val="0"/>
        <w:autoSpaceDE w:val="0"/>
        <w:autoSpaceDN w:val="0"/>
        <w:adjustRightInd w:val="0"/>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27BBF4D0" w14:textId="77777777">
        <w:tblPrEx>
          <w:tblCellMar>
            <w:top w:w="0" w:type="dxa"/>
            <w:left w:w="0" w:type="dxa"/>
            <w:bottom w:w="0" w:type="dxa"/>
            <w:right w:w="0" w:type="dxa"/>
          </w:tblCellMar>
        </w:tblPrEx>
        <w:tc>
          <w:tcPr>
            <w:tcW w:w="600" w:type="dxa"/>
            <w:tcBorders>
              <w:top w:val="nil"/>
              <w:left w:val="nil"/>
              <w:bottom w:val="nil"/>
              <w:right w:val="nil"/>
            </w:tcBorders>
          </w:tcPr>
          <w:bookmarkStart w:id="344" w:name="co_footnote_B01722041287330_1"/>
          <w:bookmarkEnd w:id="344"/>
          <w:p w14:paraId="39D13AE5"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"#co_footnoteReference_B01722041287330_ID0" </w:instrText>
            </w:r>
            <w:r w:rsidR="00F61700">
              <w:rPr>
                <w:color w:val="000000"/>
              </w:rPr>
            </w:r>
            <w:r>
              <w:rPr>
                <w:color w:val="000000"/>
              </w:rPr>
              <w:fldChar w:fldCharType="separate"/>
            </w:r>
            <w:r>
              <w:rPr>
                <w:color w:val="000000"/>
                <w:vertAlign w:val="superscript"/>
              </w:rPr>
              <w:t>171</w:t>
            </w:r>
            <w:r>
              <w:rPr>
                <w:color w:val="000000"/>
              </w:rPr>
              <w:fldChar w:fldCharType="end"/>
            </w:r>
          </w:p>
          <w:p w14:paraId="2ACD2E45"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1C74E70F" w14:textId="77777777" w:rsidR="00793DC4" w:rsidRDefault="00793DC4">
            <w:pPr>
              <w:widowControl w:val="0"/>
              <w:autoSpaceDE w:val="0"/>
              <w:autoSpaceDN w:val="0"/>
              <w:adjustRightInd w:val="0"/>
              <w:jc w:val="both"/>
              <w:rPr>
                <w:color w:val="000000"/>
                <w:sz w:val="18"/>
                <w:szCs w:val="18"/>
              </w:rPr>
            </w:pPr>
            <w:r>
              <w:rPr>
                <w:color w:val="000000"/>
                <w:sz w:val="18"/>
                <w:szCs w:val="18"/>
              </w:rPr>
              <w:t xml:space="preserve">The District Court and the parties could have, but did not, choose to have the Plaintiffs assemble a single “master complaint” that superseded the individual complaints. </w:t>
            </w:r>
            <w:r>
              <w:rPr>
                <w:i/>
                <w:iCs/>
                <w:color w:val="000000"/>
                <w:sz w:val="18"/>
                <w:szCs w:val="18"/>
              </w:rPr>
              <w:t xml:space="preserve">See </w:t>
            </w:r>
            <w:hyperlink r:id="rId495" w:history="1">
              <w:r>
                <w:rPr>
                  <w:i/>
                  <w:iCs/>
                  <w:color w:val="000000"/>
                  <w:sz w:val="18"/>
                  <w:szCs w:val="18"/>
                </w:rPr>
                <w:t xml:space="preserve">In re Refrigerant Compressors Antitrust </w:t>
              </w:r>
              <w:proofErr w:type="spellStart"/>
              <w:r>
                <w:rPr>
                  <w:i/>
                  <w:iCs/>
                  <w:color w:val="000000"/>
                  <w:sz w:val="18"/>
                  <w:szCs w:val="18"/>
                </w:rPr>
                <w:t>Litig</w:t>
              </w:r>
              <w:proofErr w:type="spellEnd"/>
              <w:proofErr w:type="gramStart"/>
              <w:r>
                <w:rPr>
                  <w:i/>
                  <w:iCs/>
                  <w:color w:val="000000"/>
                  <w:sz w:val="18"/>
                  <w:szCs w:val="18"/>
                </w:rPr>
                <w:t>.</w:t>
              </w:r>
              <w:r>
                <w:rPr>
                  <w:color w:val="000000"/>
                  <w:sz w:val="18"/>
                  <w:szCs w:val="18"/>
                </w:rPr>
                <w:t>,</w:t>
              </w:r>
              <w:proofErr w:type="gramEnd"/>
              <w:r>
                <w:rPr>
                  <w:color w:val="000000"/>
                  <w:sz w:val="18"/>
                  <w:szCs w:val="18"/>
                </w:rPr>
                <w:t xml:space="preserve"> 731 F.3d 586, 590-91 (6th Cir. 2013)</w:t>
              </w:r>
            </w:hyperlink>
            <w:r>
              <w:rPr>
                <w:color w:val="000000"/>
                <w:sz w:val="18"/>
                <w:szCs w:val="18"/>
              </w:rPr>
              <w:t>.</w:t>
            </w:r>
          </w:p>
          <w:p w14:paraId="4BD0E3B2" w14:textId="77777777" w:rsidR="00793DC4" w:rsidRDefault="00793DC4">
            <w:pPr>
              <w:widowControl w:val="0"/>
              <w:autoSpaceDE w:val="0"/>
              <w:autoSpaceDN w:val="0"/>
              <w:adjustRightInd w:val="0"/>
              <w:jc w:val="both"/>
              <w:rPr>
                <w:color w:val="000000"/>
                <w:sz w:val="18"/>
                <w:szCs w:val="18"/>
              </w:rPr>
            </w:pPr>
          </w:p>
        </w:tc>
      </w:tr>
    </w:tbl>
    <w:p w14:paraId="70AB9E89" w14:textId="77777777" w:rsidR="00793DC4" w:rsidRDefault="00793DC4">
      <w:pPr>
        <w:widowControl w:val="0"/>
        <w:autoSpaceDE w:val="0"/>
        <w:autoSpaceDN w:val="0"/>
        <w:adjustRightInd w:val="0"/>
        <w:jc w:val="both"/>
        <w:rPr>
          <w:color w:val="000000"/>
        </w:rPr>
      </w:pPr>
    </w:p>
    <w:p w14:paraId="02EDD8D9" w14:textId="77777777" w:rsidR="00793DC4" w:rsidRDefault="00793DC4">
      <w:pPr>
        <w:widowControl w:val="0"/>
        <w:autoSpaceDE w:val="0"/>
        <w:autoSpaceDN w:val="0"/>
        <w:adjustRightInd w:val="0"/>
        <w:spacing w:before="400" w:after="200"/>
        <w:jc w:val="center"/>
        <w:rPr>
          <w:b/>
          <w:bCs/>
          <w:color w:val="000000"/>
        </w:rPr>
      </w:pPr>
      <w:r>
        <w:rPr>
          <w:b/>
          <w:bCs/>
          <w:color w:val="000000"/>
        </w:rPr>
        <w:t>D. Merck is Not Entitled to Summary Judgment on Plaintiffs’ Non-Warning Claims</w:t>
      </w:r>
    </w:p>
    <w:p w14:paraId="79A49FAC" w14:textId="77777777" w:rsidR="00793DC4" w:rsidRDefault="00793DC4">
      <w:pPr>
        <w:widowControl w:val="0"/>
        <w:autoSpaceDE w:val="0"/>
        <w:autoSpaceDN w:val="0"/>
        <w:adjustRightInd w:val="0"/>
        <w:jc w:val="both"/>
        <w:rPr>
          <w:color w:val="000000"/>
        </w:rPr>
      </w:pPr>
      <w:hyperlink r:id="rId496" w:history="1">
        <w:r>
          <w:rPr>
            <w:b/>
            <w:bCs/>
            <w:color w:val="000000"/>
            <w:vertAlign w:val="superscript"/>
          </w:rPr>
          <w:t>[18]</w:t>
        </w:r>
      </w:hyperlink>
      <w:r>
        <w:rPr>
          <w:color w:val="000000"/>
        </w:rPr>
        <w:t>The District Court held that Plaintiffs’ Non-Warning Claims sounded in failure to warn and were therefore preempted to the same extent as the Warning and Precautions Claims. Accordingly, our decision vacating the District Court’s preemption ruling as to the Warnings and Precautions Claims reinstates the Non-Warning Claims as well.</w:t>
      </w:r>
      <w:bookmarkStart w:id="345" w:name="co_footnoteReference_B01732041287330_ID0"/>
      <w:bookmarkEnd w:id="345"/>
      <w:r>
        <w:rPr>
          <w:color w:val="000000"/>
          <w:sz w:val="16"/>
          <w:szCs w:val="16"/>
        </w:rPr>
        <w:fldChar w:fldCharType="begin"/>
      </w:r>
      <w:r>
        <w:rPr>
          <w:color w:val="000000"/>
          <w:sz w:val="16"/>
          <w:szCs w:val="16"/>
        </w:rPr>
        <w:instrText xml:space="preserve">HYPERLINK "#co_footnote_B01732041287330_1" </w:instrText>
      </w:r>
      <w:r w:rsidR="00F61700">
        <w:rPr>
          <w:color w:val="000000"/>
          <w:sz w:val="16"/>
          <w:szCs w:val="16"/>
        </w:rPr>
      </w:r>
      <w:r>
        <w:rPr>
          <w:color w:val="000000"/>
          <w:sz w:val="16"/>
          <w:szCs w:val="16"/>
        </w:rPr>
        <w:fldChar w:fldCharType="separate"/>
      </w:r>
      <w:r>
        <w:rPr>
          <w:color w:val="000000"/>
          <w:sz w:val="16"/>
          <w:szCs w:val="16"/>
          <w:vertAlign w:val="superscript"/>
        </w:rPr>
        <w:t>172</w:t>
      </w:r>
      <w:r>
        <w:rPr>
          <w:color w:val="000000"/>
          <w:sz w:val="16"/>
          <w:szCs w:val="16"/>
        </w:rPr>
        <w:fldChar w:fldCharType="end"/>
      </w:r>
      <w:r>
        <w:rPr>
          <w:color w:val="000000"/>
        </w:rPr>
        <w:t xml:space="preserve"> We pass no judgment on the merits of those claims or on whether they do in fact sound in failure to warn.</w:t>
      </w:r>
    </w:p>
    <w:p w14:paraId="3B8E7516" w14:textId="77777777" w:rsidR="00793DC4" w:rsidRDefault="00793DC4">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793DC4" w14:paraId="26B7EB53" w14:textId="77777777">
        <w:tblPrEx>
          <w:tblCellMar>
            <w:top w:w="0" w:type="dxa"/>
            <w:left w:w="0" w:type="dxa"/>
            <w:bottom w:w="0" w:type="dxa"/>
            <w:right w:w="0" w:type="dxa"/>
          </w:tblCellMar>
        </w:tblPrEx>
        <w:tc>
          <w:tcPr>
            <w:tcW w:w="600" w:type="dxa"/>
            <w:tcBorders>
              <w:top w:val="nil"/>
              <w:left w:val="nil"/>
              <w:bottom w:val="nil"/>
              <w:right w:val="nil"/>
            </w:tcBorders>
          </w:tcPr>
          <w:bookmarkStart w:id="346" w:name="co_footnote_B01732041287330_1"/>
          <w:bookmarkEnd w:id="346"/>
          <w:p w14:paraId="632E9140" w14:textId="77777777" w:rsidR="00793DC4" w:rsidRDefault="00793DC4">
            <w:pPr>
              <w:widowControl w:val="0"/>
              <w:autoSpaceDE w:val="0"/>
              <w:autoSpaceDN w:val="0"/>
              <w:adjustRightInd w:val="0"/>
              <w:rPr>
                <w:color w:val="000000"/>
              </w:rPr>
            </w:pPr>
            <w:r>
              <w:rPr>
                <w:color w:val="000000"/>
              </w:rPr>
              <w:fldChar w:fldCharType="begin"/>
            </w:r>
            <w:r>
              <w:rPr>
                <w:color w:val="000000"/>
              </w:rPr>
              <w:instrText xml:space="preserve">HYPERLINK "#co_footnoteReference_B01732041287330_ID0" </w:instrText>
            </w:r>
            <w:r w:rsidR="00F61700">
              <w:rPr>
                <w:color w:val="000000"/>
              </w:rPr>
            </w:r>
            <w:r>
              <w:rPr>
                <w:color w:val="000000"/>
              </w:rPr>
              <w:fldChar w:fldCharType="separate"/>
            </w:r>
            <w:r>
              <w:rPr>
                <w:color w:val="000000"/>
                <w:vertAlign w:val="superscript"/>
              </w:rPr>
              <w:t>172</w:t>
            </w:r>
            <w:r>
              <w:rPr>
                <w:color w:val="000000"/>
              </w:rPr>
              <w:fldChar w:fldCharType="end"/>
            </w:r>
          </w:p>
          <w:p w14:paraId="0C87304D" w14:textId="77777777" w:rsidR="00793DC4" w:rsidRDefault="00793DC4">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3954AA9A" w14:textId="77777777" w:rsidR="00793DC4" w:rsidRDefault="00793DC4">
            <w:pPr>
              <w:widowControl w:val="0"/>
              <w:autoSpaceDE w:val="0"/>
              <w:autoSpaceDN w:val="0"/>
              <w:adjustRightInd w:val="0"/>
              <w:jc w:val="both"/>
              <w:rPr>
                <w:color w:val="000000"/>
                <w:sz w:val="18"/>
                <w:szCs w:val="18"/>
              </w:rPr>
            </w:pPr>
            <w:r>
              <w:rPr>
                <w:color w:val="000000"/>
                <w:sz w:val="18"/>
                <w:szCs w:val="18"/>
              </w:rPr>
              <w:t xml:space="preserve">Merck argues that the non-warning claims are separately preempted by the Supreme Court’s decision in </w:t>
            </w:r>
            <w:hyperlink r:id="rId497" w:history="1">
              <w:r>
                <w:rPr>
                  <w:i/>
                  <w:iCs/>
                  <w:color w:val="000000"/>
                  <w:sz w:val="18"/>
                  <w:szCs w:val="18"/>
                </w:rPr>
                <w:t>Mutual Pharmaceutical Co. v. Bartlett</w:t>
              </w:r>
              <w:r>
                <w:rPr>
                  <w:color w:val="000000"/>
                  <w:sz w:val="18"/>
                  <w:szCs w:val="18"/>
                </w:rPr>
                <w:t xml:space="preserve">, ––– U.S. ––––, 133 </w:t>
              </w:r>
              <w:proofErr w:type="spellStart"/>
              <w:r>
                <w:rPr>
                  <w:color w:val="000000"/>
                  <w:sz w:val="18"/>
                  <w:szCs w:val="18"/>
                </w:rPr>
                <w:t>S.Ct</w:t>
              </w:r>
              <w:proofErr w:type="spellEnd"/>
              <w:r>
                <w:rPr>
                  <w:color w:val="000000"/>
                  <w:sz w:val="18"/>
                  <w:szCs w:val="18"/>
                </w:rPr>
                <w:t>. 2466, 186 L.Ed.2d 607 (2013)</w:t>
              </w:r>
            </w:hyperlink>
            <w:r>
              <w:rPr>
                <w:color w:val="000000"/>
                <w:sz w:val="18"/>
                <w:szCs w:val="18"/>
              </w:rPr>
              <w:t xml:space="preserve">. Merck admits, however, that it did not raise this argument below—indeed, Merck appears to have explicitly disavowed the argument so it could characterize its defense as being based solely on </w:t>
            </w:r>
            <w:hyperlink r:id="rId498" w:history="1">
              <w:r>
                <w:rPr>
                  <w:i/>
                  <w:iCs/>
                  <w:color w:val="000000"/>
                  <w:sz w:val="18"/>
                  <w:szCs w:val="18"/>
                </w:rPr>
                <w:t>Wyeth</w:t>
              </w:r>
            </w:hyperlink>
            <w:r>
              <w:rPr>
                <w:color w:val="000000"/>
                <w:sz w:val="18"/>
                <w:szCs w:val="18"/>
              </w:rPr>
              <w:t xml:space="preserve">. Merck Br. 68; A 1727-28. “It is well established that arguments not raised before the District Court are waived on appeal.” </w:t>
            </w:r>
            <w:hyperlink r:id="rId499" w:history="1">
              <w:r>
                <w:rPr>
                  <w:i/>
                  <w:iCs/>
                  <w:color w:val="000000"/>
                  <w:sz w:val="18"/>
                  <w:szCs w:val="18"/>
                </w:rPr>
                <w:t xml:space="preserve">DIRECTV Inc. v. </w:t>
              </w:r>
              <w:proofErr w:type="spellStart"/>
              <w:r>
                <w:rPr>
                  <w:i/>
                  <w:iCs/>
                  <w:color w:val="000000"/>
                  <w:sz w:val="18"/>
                  <w:szCs w:val="18"/>
                </w:rPr>
                <w:t>Seijas</w:t>
              </w:r>
              <w:proofErr w:type="spellEnd"/>
              <w:r>
                <w:rPr>
                  <w:color w:val="000000"/>
                  <w:sz w:val="18"/>
                  <w:szCs w:val="18"/>
                </w:rPr>
                <w:t>, 508 F.3d 123, 125 n.1 (3d Cir. 2007)</w:t>
              </w:r>
            </w:hyperlink>
            <w:r>
              <w:rPr>
                <w:color w:val="000000"/>
                <w:sz w:val="18"/>
                <w:szCs w:val="18"/>
              </w:rPr>
              <w:t>. We see no reason to deviate from that rule here.</w:t>
            </w:r>
          </w:p>
          <w:p w14:paraId="0021AB5E" w14:textId="77777777" w:rsidR="00793DC4" w:rsidRDefault="00793DC4">
            <w:pPr>
              <w:widowControl w:val="0"/>
              <w:autoSpaceDE w:val="0"/>
              <w:autoSpaceDN w:val="0"/>
              <w:adjustRightInd w:val="0"/>
              <w:jc w:val="both"/>
              <w:rPr>
                <w:color w:val="000000"/>
                <w:sz w:val="18"/>
                <w:szCs w:val="18"/>
              </w:rPr>
            </w:pPr>
          </w:p>
        </w:tc>
      </w:tr>
    </w:tbl>
    <w:p w14:paraId="78CB8F24" w14:textId="77777777" w:rsidR="00793DC4" w:rsidRDefault="00793DC4">
      <w:pPr>
        <w:widowControl w:val="0"/>
        <w:autoSpaceDE w:val="0"/>
        <w:autoSpaceDN w:val="0"/>
        <w:adjustRightInd w:val="0"/>
        <w:jc w:val="both"/>
        <w:rPr>
          <w:color w:val="000000"/>
        </w:rPr>
      </w:pPr>
    </w:p>
    <w:p w14:paraId="343F44F3" w14:textId="77777777" w:rsidR="00793DC4" w:rsidRDefault="00793DC4">
      <w:pPr>
        <w:widowControl w:val="0"/>
        <w:autoSpaceDE w:val="0"/>
        <w:autoSpaceDN w:val="0"/>
        <w:adjustRightInd w:val="0"/>
        <w:spacing w:before="200"/>
        <w:rPr>
          <w:b/>
          <w:bCs/>
          <w:color w:val="000000"/>
        </w:rPr>
      </w:pPr>
      <w:r>
        <w:rPr>
          <w:b/>
          <w:bCs/>
          <w:color w:val="000000"/>
        </w:rPr>
        <w:t>IV. CONCLUSION</w:t>
      </w:r>
    </w:p>
    <w:p w14:paraId="7A44F544" w14:textId="77777777" w:rsidR="00793DC4" w:rsidRDefault="00793DC4">
      <w:pPr>
        <w:widowControl w:val="0"/>
        <w:autoSpaceDE w:val="0"/>
        <w:autoSpaceDN w:val="0"/>
        <w:adjustRightInd w:val="0"/>
        <w:jc w:val="both"/>
        <w:rPr>
          <w:color w:val="000000"/>
        </w:rPr>
      </w:pPr>
      <w:r>
        <w:rPr>
          <w:color w:val="000000"/>
        </w:rPr>
        <w:t>For the foregoing reasons, we will vacate the District Court’s grant of summary judgment to Merck and remand for further proceedings consistent with this opinion.</w:t>
      </w:r>
    </w:p>
    <w:p w14:paraId="42822D7C" w14:textId="77777777" w:rsidR="00793DC4" w:rsidRDefault="00793DC4">
      <w:pPr>
        <w:widowControl w:val="0"/>
        <w:autoSpaceDE w:val="0"/>
        <w:autoSpaceDN w:val="0"/>
        <w:adjustRightInd w:val="0"/>
        <w:jc w:val="both"/>
        <w:rPr>
          <w:color w:val="000000"/>
        </w:rPr>
      </w:pPr>
      <w:r>
        <w:rPr>
          <w:color w:val="000000"/>
        </w:rPr>
        <w:t> </w:t>
      </w:r>
    </w:p>
    <w:p w14:paraId="1717CA96" w14:textId="77777777" w:rsidR="00793DC4" w:rsidRDefault="00793DC4">
      <w:pPr>
        <w:widowControl w:val="0"/>
        <w:autoSpaceDE w:val="0"/>
        <w:autoSpaceDN w:val="0"/>
        <w:adjustRightInd w:val="0"/>
        <w:spacing w:before="200"/>
        <w:jc w:val="center"/>
        <w:rPr>
          <w:b/>
          <w:bCs/>
          <w:color w:val="000000"/>
        </w:rPr>
      </w:pPr>
      <w:r>
        <w:rPr>
          <w:b/>
          <w:bCs/>
          <w:color w:val="000000"/>
        </w:rPr>
        <w:t>Appendix A</w:t>
      </w:r>
    </w:p>
    <w:p w14:paraId="06C39C7C" w14:textId="77777777" w:rsidR="00793DC4" w:rsidRDefault="00793DC4">
      <w:pPr>
        <w:widowControl w:val="0"/>
        <w:autoSpaceDE w:val="0"/>
        <w:autoSpaceDN w:val="0"/>
        <w:adjustRightInd w:val="0"/>
        <w:jc w:val="both"/>
        <w:rPr>
          <w:color w:val="000000"/>
        </w:rPr>
      </w:pPr>
      <w:r>
        <w:rPr>
          <w:b/>
          <w:bCs/>
          <w:color w:val="000000"/>
        </w:rPr>
        <w:t>*303</w:t>
      </w:r>
    </w:p>
    <w:p w14:paraId="1956F92C" w14:textId="77777777" w:rsidR="00793DC4" w:rsidRDefault="00F61700">
      <w:pPr>
        <w:widowControl w:val="0"/>
        <w:autoSpaceDE w:val="0"/>
        <w:autoSpaceDN w:val="0"/>
        <w:adjustRightInd w:val="0"/>
        <w:jc w:val="both"/>
        <w:rPr>
          <w:color w:val="000000"/>
        </w:rPr>
      </w:pPr>
      <w:r>
        <w:rPr>
          <w:noProof/>
          <w:color w:val="000000"/>
        </w:rPr>
        <w:drawing>
          <wp:inline distT="0" distB="0" distL="0" distR="0" wp14:anchorId="68958D5E" wp14:editId="4C5D4F5A">
            <wp:extent cx="1624965" cy="3200400"/>
            <wp:effectExtent l="0" t="0" r="635" b="0"/>
            <wp:docPr id="4" name="Picture 4">
              <a:hlinkClick xmlns:a="http://schemas.openxmlformats.org/drawingml/2006/main" r:id="rId5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1">
                      <a:extLst>
                        <a:ext uri="{28A0092B-C50C-407E-A947-70E740481C1C}">
                          <a14:useLocalDpi xmlns:a14="http://schemas.microsoft.com/office/drawing/2010/main" val="0"/>
                        </a:ext>
                      </a:extLst>
                    </a:blip>
                    <a:srcRect/>
                    <a:stretch>
                      <a:fillRect/>
                    </a:stretch>
                  </pic:blipFill>
                  <pic:spPr bwMode="auto">
                    <a:xfrm>
                      <a:off x="0" y="0"/>
                      <a:ext cx="1624965" cy="3200400"/>
                    </a:xfrm>
                    <a:prstGeom prst="rect">
                      <a:avLst/>
                    </a:prstGeom>
                    <a:noFill/>
                    <a:ln>
                      <a:noFill/>
                    </a:ln>
                  </pic:spPr>
                </pic:pic>
              </a:graphicData>
            </a:graphic>
          </wp:inline>
        </w:drawing>
      </w:r>
      <w:hyperlink r:id="rId502" w:history="1">
        <w:r w:rsidR="00793DC4">
          <w:rPr>
            <w:color w:val="000000"/>
          </w:rPr>
          <w:t>​</w:t>
        </w:r>
      </w:hyperlink>
    </w:p>
    <w:p w14:paraId="38A1C256" w14:textId="77777777" w:rsidR="00793DC4" w:rsidRDefault="00793DC4">
      <w:pPr>
        <w:widowControl w:val="0"/>
        <w:autoSpaceDE w:val="0"/>
        <w:autoSpaceDN w:val="0"/>
        <w:adjustRightInd w:val="0"/>
        <w:jc w:val="both"/>
        <w:rPr>
          <w:color w:val="000000"/>
        </w:rPr>
      </w:pPr>
      <w:r>
        <w:rPr>
          <w:b/>
          <w:bCs/>
          <w:color w:val="000000"/>
        </w:rPr>
        <w:t>*304</w:t>
      </w:r>
    </w:p>
    <w:p w14:paraId="30A91D4F" w14:textId="77777777" w:rsidR="00793DC4" w:rsidRDefault="00F61700">
      <w:pPr>
        <w:widowControl w:val="0"/>
        <w:autoSpaceDE w:val="0"/>
        <w:autoSpaceDN w:val="0"/>
        <w:adjustRightInd w:val="0"/>
        <w:jc w:val="both"/>
        <w:rPr>
          <w:color w:val="000000"/>
        </w:rPr>
      </w:pPr>
      <w:r>
        <w:rPr>
          <w:noProof/>
          <w:color w:val="000000"/>
        </w:rPr>
        <w:drawing>
          <wp:inline distT="0" distB="0" distL="0" distR="0" wp14:anchorId="32BA015E" wp14:editId="24D34C8A">
            <wp:extent cx="1624965" cy="3059430"/>
            <wp:effectExtent l="0" t="0" r="635" b="0"/>
            <wp:docPr id="5" name="Picture 5">
              <a:hlinkClick xmlns:a="http://schemas.openxmlformats.org/drawingml/2006/main" r:id="rId5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1624965" cy="3059430"/>
                    </a:xfrm>
                    <a:prstGeom prst="rect">
                      <a:avLst/>
                    </a:prstGeom>
                    <a:noFill/>
                    <a:ln>
                      <a:noFill/>
                    </a:ln>
                  </pic:spPr>
                </pic:pic>
              </a:graphicData>
            </a:graphic>
          </wp:inline>
        </w:drawing>
      </w:r>
      <w:hyperlink r:id="rId505" w:history="1">
        <w:r w:rsidR="00793DC4">
          <w:rPr>
            <w:color w:val="000000"/>
          </w:rPr>
          <w:t>​</w:t>
        </w:r>
      </w:hyperlink>
    </w:p>
    <w:p w14:paraId="62D61EC9" w14:textId="77777777" w:rsidR="00793DC4" w:rsidRDefault="00793DC4">
      <w:pPr>
        <w:widowControl w:val="0"/>
        <w:autoSpaceDE w:val="0"/>
        <w:autoSpaceDN w:val="0"/>
        <w:adjustRightInd w:val="0"/>
        <w:jc w:val="both"/>
        <w:rPr>
          <w:color w:val="000000"/>
        </w:rPr>
      </w:pPr>
      <w:r>
        <w:rPr>
          <w:b/>
          <w:bCs/>
          <w:color w:val="000000"/>
        </w:rPr>
        <w:t>*305</w:t>
      </w:r>
    </w:p>
    <w:p w14:paraId="4B6802F9" w14:textId="77777777" w:rsidR="00793DC4" w:rsidRDefault="00F61700">
      <w:pPr>
        <w:widowControl w:val="0"/>
        <w:autoSpaceDE w:val="0"/>
        <w:autoSpaceDN w:val="0"/>
        <w:adjustRightInd w:val="0"/>
        <w:jc w:val="both"/>
        <w:rPr>
          <w:color w:val="000000"/>
        </w:rPr>
      </w:pPr>
      <w:r>
        <w:rPr>
          <w:noProof/>
          <w:color w:val="000000"/>
        </w:rPr>
        <w:drawing>
          <wp:inline distT="0" distB="0" distL="0" distR="0" wp14:anchorId="592C185B" wp14:editId="0BAF4D2E">
            <wp:extent cx="1624965" cy="3150870"/>
            <wp:effectExtent l="0" t="0" r="635" b="0"/>
            <wp:docPr id="6" name="Picture 6">
              <a:hlinkClick xmlns:a="http://schemas.openxmlformats.org/drawingml/2006/main" r:id="rId5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7">
                      <a:extLst>
                        <a:ext uri="{28A0092B-C50C-407E-A947-70E740481C1C}">
                          <a14:useLocalDpi xmlns:a14="http://schemas.microsoft.com/office/drawing/2010/main" val="0"/>
                        </a:ext>
                      </a:extLst>
                    </a:blip>
                    <a:srcRect/>
                    <a:stretch>
                      <a:fillRect/>
                    </a:stretch>
                  </pic:blipFill>
                  <pic:spPr bwMode="auto">
                    <a:xfrm>
                      <a:off x="0" y="0"/>
                      <a:ext cx="1624965" cy="3150870"/>
                    </a:xfrm>
                    <a:prstGeom prst="rect">
                      <a:avLst/>
                    </a:prstGeom>
                    <a:noFill/>
                    <a:ln>
                      <a:noFill/>
                    </a:ln>
                  </pic:spPr>
                </pic:pic>
              </a:graphicData>
            </a:graphic>
          </wp:inline>
        </w:drawing>
      </w:r>
      <w:hyperlink r:id="rId508" w:history="1">
        <w:r w:rsidR="00793DC4">
          <w:rPr>
            <w:color w:val="000000"/>
          </w:rPr>
          <w:t>​</w:t>
        </w:r>
      </w:hyperlink>
    </w:p>
    <w:p w14:paraId="7046F142" w14:textId="77777777" w:rsidR="00793DC4" w:rsidRDefault="00793DC4">
      <w:pPr>
        <w:widowControl w:val="0"/>
        <w:autoSpaceDE w:val="0"/>
        <w:autoSpaceDN w:val="0"/>
        <w:adjustRightInd w:val="0"/>
        <w:jc w:val="both"/>
        <w:rPr>
          <w:color w:val="000000"/>
        </w:rPr>
      </w:pPr>
      <w:r>
        <w:rPr>
          <w:b/>
          <w:bCs/>
          <w:color w:val="000000"/>
        </w:rPr>
        <w:t>*306</w:t>
      </w:r>
    </w:p>
    <w:p w14:paraId="6CA252E8" w14:textId="77777777" w:rsidR="00793DC4" w:rsidRDefault="00F61700">
      <w:pPr>
        <w:widowControl w:val="0"/>
        <w:autoSpaceDE w:val="0"/>
        <w:autoSpaceDN w:val="0"/>
        <w:adjustRightInd w:val="0"/>
        <w:jc w:val="both"/>
        <w:rPr>
          <w:color w:val="000000"/>
        </w:rPr>
      </w:pPr>
      <w:r>
        <w:rPr>
          <w:noProof/>
          <w:color w:val="000000"/>
        </w:rPr>
        <w:drawing>
          <wp:inline distT="0" distB="0" distL="0" distR="0" wp14:anchorId="5F308353" wp14:editId="632AE808">
            <wp:extent cx="1624965" cy="3150870"/>
            <wp:effectExtent l="0" t="0" r="635" b="0"/>
            <wp:docPr id="7" name="Picture 7">
              <a:hlinkClick xmlns:a="http://schemas.openxmlformats.org/drawingml/2006/main" r:id="rId5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0">
                      <a:extLst>
                        <a:ext uri="{28A0092B-C50C-407E-A947-70E740481C1C}">
                          <a14:useLocalDpi xmlns:a14="http://schemas.microsoft.com/office/drawing/2010/main" val="0"/>
                        </a:ext>
                      </a:extLst>
                    </a:blip>
                    <a:srcRect/>
                    <a:stretch>
                      <a:fillRect/>
                    </a:stretch>
                  </pic:blipFill>
                  <pic:spPr bwMode="auto">
                    <a:xfrm>
                      <a:off x="0" y="0"/>
                      <a:ext cx="1624965" cy="3150870"/>
                    </a:xfrm>
                    <a:prstGeom prst="rect">
                      <a:avLst/>
                    </a:prstGeom>
                    <a:noFill/>
                    <a:ln>
                      <a:noFill/>
                    </a:ln>
                  </pic:spPr>
                </pic:pic>
              </a:graphicData>
            </a:graphic>
          </wp:inline>
        </w:drawing>
      </w:r>
      <w:hyperlink r:id="rId511" w:history="1">
        <w:r w:rsidR="00793DC4">
          <w:rPr>
            <w:color w:val="000000"/>
          </w:rPr>
          <w:t>​</w:t>
        </w:r>
      </w:hyperlink>
    </w:p>
    <w:p w14:paraId="2A5377B5" w14:textId="77777777" w:rsidR="00793DC4" w:rsidRDefault="00793DC4">
      <w:pPr>
        <w:widowControl w:val="0"/>
        <w:autoSpaceDE w:val="0"/>
        <w:autoSpaceDN w:val="0"/>
        <w:adjustRightInd w:val="0"/>
        <w:jc w:val="both"/>
        <w:rPr>
          <w:color w:val="000000"/>
        </w:rPr>
      </w:pPr>
      <w:r>
        <w:rPr>
          <w:b/>
          <w:bCs/>
          <w:color w:val="000000"/>
        </w:rPr>
        <w:t>*307</w:t>
      </w:r>
    </w:p>
    <w:p w14:paraId="5F24241B" w14:textId="77777777" w:rsidR="00793DC4" w:rsidRDefault="00F61700">
      <w:pPr>
        <w:widowControl w:val="0"/>
        <w:autoSpaceDE w:val="0"/>
        <w:autoSpaceDN w:val="0"/>
        <w:adjustRightInd w:val="0"/>
        <w:jc w:val="both"/>
        <w:rPr>
          <w:color w:val="000000"/>
        </w:rPr>
      </w:pPr>
      <w:r>
        <w:rPr>
          <w:noProof/>
          <w:color w:val="000000"/>
        </w:rPr>
        <w:drawing>
          <wp:inline distT="0" distB="0" distL="0" distR="0" wp14:anchorId="001475CB" wp14:editId="2BF79C07">
            <wp:extent cx="1624965" cy="3355340"/>
            <wp:effectExtent l="0" t="0" r="635" b="0"/>
            <wp:docPr id="8" name="Picture 8">
              <a:hlinkClick xmlns:a="http://schemas.openxmlformats.org/drawingml/2006/main" r:id="rId5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13">
                      <a:extLst>
                        <a:ext uri="{28A0092B-C50C-407E-A947-70E740481C1C}">
                          <a14:useLocalDpi xmlns:a14="http://schemas.microsoft.com/office/drawing/2010/main" val="0"/>
                        </a:ext>
                      </a:extLst>
                    </a:blip>
                    <a:srcRect/>
                    <a:stretch>
                      <a:fillRect/>
                    </a:stretch>
                  </pic:blipFill>
                  <pic:spPr bwMode="auto">
                    <a:xfrm>
                      <a:off x="0" y="0"/>
                      <a:ext cx="1624965" cy="3355340"/>
                    </a:xfrm>
                    <a:prstGeom prst="rect">
                      <a:avLst/>
                    </a:prstGeom>
                    <a:noFill/>
                    <a:ln>
                      <a:noFill/>
                    </a:ln>
                  </pic:spPr>
                </pic:pic>
              </a:graphicData>
            </a:graphic>
          </wp:inline>
        </w:drawing>
      </w:r>
      <w:hyperlink r:id="rId514" w:history="1">
        <w:r w:rsidR="00793DC4">
          <w:rPr>
            <w:color w:val="000000"/>
          </w:rPr>
          <w:t>​</w:t>
        </w:r>
      </w:hyperlink>
    </w:p>
    <w:p w14:paraId="088A1959" w14:textId="77777777" w:rsidR="00793DC4" w:rsidRDefault="00793DC4">
      <w:pPr>
        <w:widowControl w:val="0"/>
        <w:autoSpaceDE w:val="0"/>
        <w:autoSpaceDN w:val="0"/>
        <w:adjustRightInd w:val="0"/>
        <w:jc w:val="both"/>
        <w:rPr>
          <w:color w:val="000000"/>
        </w:rPr>
      </w:pPr>
      <w:r>
        <w:rPr>
          <w:b/>
          <w:bCs/>
          <w:color w:val="000000"/>
        </w:rPr>
        <w:t>*308</w:t>
      </w:r>
    </w:p>
    <w:p w14:paraId="34FB1046" w14:textId="77777777" w:rsidR="00793DC4" w:rsidRDefault="00F61700">
      <w:pPr>
        <w:widowControl w:val="0"/>
        <w:autoSpaceDE w:val="0"/>
        <w:autoSpaceDN w:val="0"/>
        <w:adjustRightInd w:val="0"/>
        <w:jc w:val="both"/>
        <w:rPr>
          <w:color w:val="000000"/>
        </w:rPr>
      </w:pPr>
      <w:r>
        <w:rPr>
          <w:noProof/>
          <w:color w:val="000000"/>
        </w:rPr>
        <w:drawing>
          <wp:inline distT="0" distB="0" distL="0" distR="0" wp14:anchorId="5529839F" wp14:editId="34AB5263">
            <wp:extent cx="1624965" cy="2813685"/>
            <wp:effectExtent l="0" t="0" r="635" b="5715"/>
            <wp:docPr id="9" name="Picture 9">
              <a:hlinkClick xmlns:a="http://schemas.openxmlformats.org/drawingml/2006/main" r:id="rId5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6">
                      <a:extLst>
                        <a:ext uri="{28A0092B-C50C-407E-A947-70E740481C1C}">
                          <a14:useLocalDpi xmlns:a14="http://schemas.microsoft.com/office/drawing/2010/main" val="0"/>
                        </a:ext>
                      </a:extLst>
                    </a:blip>
                    <a:srcRect/>
                    <a:stretch>
                      <a:fillRect/>
                    </a:stretch>
                  </pic:blipFill>
                  <pic:spPr bwMode="auto">
                    <a:xfrm>
                      <a:off x="0" y="0"/>
                      <a:ext cx="1624965" cy="2813685"/>
                    </a:xfrm>
                    <a:prstGeom prst="rect">
                      <a:avLst/>
                    </a:prstGeom>
                    <a:noFill/>
                    <a:ln>
                      <a:noFill/>
                    </a:ln>
                  </pic:spPr>
                </pic:pic>
              </a:graphicData>
            </a:graphic>
          </wp:inline>
        </w:drawing>
      </w:r>
      <w:hyperlink r:id="rId517" w:history="1">
        <w:r w:rsidR="00793DC4">
          <w:rPr>
            <w:color w:val="000000"/>
          </w:rPr>
          <w:t>​</w:t>
        </w:r>
      </w:hyperlink>
    </w:p>
    <w:p w14:paraId="1EAC15F6" w14:textId="77777777" w:rsidR="00793DC4" w:rsidRDefault="00793DC4">
      <w:pPr>
        <w:widowControl w:val="0"/>
        <w:autoSpaceDE w:val="0"/>
        <w:autoSpaceDN w:val="0"/>
        <w:adjustRightInd w:val="0"/>
        <w:jc w:val="both"/>
        <w:rPr>
          <w:color w:val="000000"/>
        </w:rPr>
      </w:pPr>
      <w:r>
        <w:rPr>
          <w:b/>
          <w:bCs/>
          <w:color w:val="000000"/>
        </w:rPr>
        <w:t>*309</w:t>
      </w:r>
    </w:p>
    <w:p w14:paraId="4AD3519D" w14:textId="77777777" w:rsidR="00793DC4" w:rsidRDefault="00F61700">
      <w:pPr>
        <w:widowControl w:val="0"/>
        <w:autoSpaceDE w:val="0"/>
        <w:autoSpaceDN w:val="0"/>
        <w:adjustRightInd w:val="0"/>
        <w:jc w:val="both"/>
        <w:rPr>
          <w:color w:val="000000"/>
        </w:rPr>
      </w:pPr>
      <w:r>
        <w:rPr>
          <w:noProof/>
          <w:color w:val="000000"/>
        </w:rPr>
        <w:drawing>
          <wp:inline distT="0" distB="0" distL="0" distR="0" wp14:anchorId="2B8481D3" wp14:editId="157537AC">
            <wp:extent cx="1624965" cy="3017520"/>
            <wp:effectExtent l="0" t="0" r="635" b="5080"/>
            <wp:docPr id="10" name="Picture 10">
              <a:hlinkClick xmlns:a="http://schemas.openxmlformats.org/drawingml/2006/main" r:id="rId5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9">
                      <a:extLst>
                        <a:ext uri="{28A0092B-C50C-407E-A947-70E740481C1C}">
                          <a14:useLocalDpi xmlns:a14="http://schemas.microsoft.com/office/drawing/2010/main" val="0"/>
                        </a:ext>
                      </a:extLst>
                    </a:blip>
                    <a:srcRect/>
                    <a:stretch>
                      <a:fillRect/>
                    </a:stretch>
                  </pic:blipFill>
                  <pic:spPr bwMode="auto">
                    <a:xfrm>
                      <a:off x="0" y="0"/>
                      <a:ext cx="1624965" cy="3017520"/>
                    </a:xfrm>
                    <a:prstGeom prst="rect">
                      <a:avLst/>
                    </a:prstGeom>
                    <a:noFill/>
                    <a:ln>
                      <a:noFill/>
                    </a:ln>
                  </pic:spPr>
                </pic:pic>
              </a:graphicData>
            </a:graphic>
          </wp:inline>
        </w:drawing>
      </w:r>
      <w:hyperlink r:id="rId520" w:history="1">
        <w:r w:rsidR="00793DC4">
          <w:rPr>
            <w:color w:val="000000"/>
          </w:rPr>
          <w:t>​</w:t>
        </w:r>
      </w:hyperlink>
    </w:p>
    <w:p w14:paraId="27EEC64F" w14:textId="77777777" w:rsidR="00793DC4" w:rsidRDefault="00793DC4">
      <w:pPr>
        <w:widowControl w:val="0"/>
        <w:autoSpaceDE w:val="0"/>
        <w:autoSpaceDN w:val="0"/>
        <w:adjustRightInd w:val="0"/>
        <w:jc w:val="both"/>
        <w:rPr>
          <w:color w:val="000000"/>
        </w:rPr>
      </w:pPr>
      <w:r>
        <w:rPr>
          <w:b/>
          <w:bCs/>
          <w:color w:val="000000"/>
        </w:rPr>
        <w:t>*310</w:t>
      </w:r>
    </w:p>
    <w:p w14:paraId="0E3A891D" w14:textId="77777777" w:rsidR="00793DC4" w:rsidRDefault="00F61700">
      <w:pPr>
        <w:widowControl w:val="0"/>
        <w:autoSpaceDE w:val="0"/>
        <w:autoSpaceDN w:val="0"/>
        <w:adjustRightInd w:val="0"/>
        <w:jc w:val="both"/>
        <w:rPr>
          <w:color w:val="000000"/>
        </w:rPr>
      </w:pPr>
      <w:r>
        <w:rPr>
          <w:noProof/>
          <w:color w:val="000000"/>
        </w:rPr>
        <w:drawing>
          <wp:inline distT="0" distB="0" distL="0" distR="0" wp14:anchorId="4CE587EB" wp14:editId="1C9C1252">
            <wp:extent cx="1624965" cy="2891155"/>
            <wp:effectExtent l="0" t="0" r="635" b="4445"/>
            <wp:docPr id="11" name="Picture 11">
              <a:hlinkClick xmlns:a="http://schemas.openxmlformats.org/drawingml/2006/main" r:id="rId5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2">
                      <a:extLst>
                        <a:ext uri="{28A0092B-C50C-407E-A947-70E740481C1C}">
                          <a14:useLocalDpi xmlns:a14="http://schemas.microsoft.com/office/drawing/2010/main" val="0"/>
                        </a:ext>
                      </a:extLst>
                    </a:blip>
                    <a:srcRect/>
                    <a:stretch>
                      <a:fillRect/>
                    </a:stretch>
                  </pic:blipFill>
                  <pic:spPr bwMode="auto">
                    <a:xfrm>
                      <a:off x="0" y="0"/>
                      <a:ext cx="1624965" cy="2891155"/>
                    </a:xfrm>
                    <a:prstGeom prst="rect">
                      <a:avLst/>
                    </a:prstGeom>
                    <a:noFill/>
                    <a:ln>
                      <a:noFill/>
                    </a:ln>
                  </pic:spPr>
                </pic:pic>
              </a:graphicData>
            </a:graphic>
          </wp:inline>
        </w:drawing>
      </w:r>
      <w:hyperlink r:id="rId523" w:history="1">
        <w:r w:rsidR="00793DC4">
          <w:rPr>
            <w:color w:val="000000"/>
          </w:rPr>
          <w:t>​</w:t>
        </w:r>
      </w:hyperlink>
    </w:p>
    <w:p w14:paraId="76AACACA" w14:textId="77777777" w:rsidR="00793DC4" w:rsidRDefault="00793DC4">
      <w:pPr>
        <w:widowControl w:val="0"/>
        <w:autoSpaceDE w:val="0"/>
        <w:autoSpaceDN w:val="0"/>
        <w:adjustRightInd w:val="0"/>
        <w:jc w:val="both"/>
        <w:rPr>
          <w:color w:val="000000"/>
        </w:rPr>
      </w:pPr>
      <w:r>
        <w:rPr>
          <w:b/>
          <w:bCs/>
          <w:color w:val="000000"/>
        </w:rPr>
        <w:t>*311</w:t>
      </w:r>
    </w:p>
    <w:p w14:paraId="11329C80" w14:textId="77777777" w:rsidR="00793DC4" w:rsidRDefault="00F61700">
      <w:pPr>
        <w:widowControl w:val="0"/>
        <w:autoSpaceDE w:val="0"/>
        <w:autoSpaceDN w:val="0"/>
        <w:adjustRightInd w:val="0"/>
        <w:jc w:val="both"/>
        <w:rPr>
          <w:color w:val="000000"/>
        </w:rPr>
      </w:pPr>
      <w:r>
        <w:rPr>
          <w:noProof/>
          <w:color w:val="000000"/>
        </w:rPr>
        <w:drawing>
          <wp:inline distT="0" distB="0" distL="0" distR="0" wp14:anchorId="2A77A65D" wp14:editId="4B35F7B4">
            <wp:extent cx="1624965" cy="2975610"/>
            <wp:effectExtent l="0" t="0" r="635" b="0"/>
            <wp:docPr id="12" name="Picture 12">
              <a:hlinkClick xmlns:a="http://schemas.openxmlformats.org/drawingml/2006/main" r:id="rId5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5">
                      <a:extLst>
                        <a:ext uri="{28A0092B-C50C-407E-A947-70E740481C1C}">
                          <a14:useLocalDpi xmlns:a14="http://schemas.microsoft.com/office/drawing/2010/main" val="0"/>
                        </a:ext>
                      </a:extLst>
                    </a:blip>
                    <a:srcRect/>
                    <a:stretch>
                      <a:fillRect/>
                    </a:stretch>
                  </pic:blipFill>
                  <pic:spPr bwMode="auto">
                    <a:xfrm>
                      <a:off x="0" y="0"/>
                      <a:ext cx="1624965" cy="2975610"/>
                    </a:xfrm>
                    <a:prstGeom prst="rect">
                      <a:avLst/>
                    </a:prstGeom>
                    <a:noFill/>
                    <a:ln>
                      <a:noFill/>
                    </a:ln>
                  </pic:spPr>
                </pic:pic>
              </a:graphicData>
            </a:graphic>
          </wp:inline>
        </w:drawing>
      </w:r>
      <w:hyperlink r:id="rId526" w:history="1">
        <w:r w:rsidR="00793DC4">
          <w:rPr>
            <w:color w:val="000000"/>
          </w:rPr>
          <w:t>​</w:t>
        </w:r>
      </w:hyperlink>
    </w:p>
    <w:p w14:paraId="5DAA8A61" w14:textId="77777777" w:rsidR="00793DC4" w:rsidRDefault="00793DC4">
      <w:pPr>
        <w:widowControl w:val="0"/>
        <w:autoSpaceDE w:val="0"/>
        <w:autoSpaceDN w:val="0"/>
        <w:adjustRightInd w:val="0"/>
        <w:jc w:val="both"/>
        <w:rPr>
          <w:color w:val="000000"/>
        </w:rPr>
      </w:pPr>
      <w:r>
        <w:rPr>
          <w:b/>
          <w:bCs/>
          <w:color w:val="000000"/>
        </w:rPr>
        <w:t>*312</w:t>
      </w:r>
    </w:p>
    <w:p w14:paraId="728B87B2" w14:textId="77777777" w:rsidR="00793DC4" w:rsidRDefault="00F61700">
      <w:pPr>
        <w:widowControl w:val="0"/>
        <w:autoSpaceDE w:val="0"/>
        <w:autoSpaceDN w:val="0"/>
        <w:adjustRightInd w:val="0"/>
        <w:jc w:val="both"/>
        <w:rPr>
          <w:color w:val="000000"/>
        </w:rPr>
      </w:pPr>
      <w:r>
        <w:rPr>
          <w:noProof/>
          <w:color w:val="000000"/>
        </w:rPr>
        <w:drawing>
          <wp:inline distT="0" distB="0" distL="0" distR="0" wp14:anchorId="706C9DE3" wp14:editId="11F20414">
            <wp:extent cx="1624965" cy="2813685"/>
            <wp:effectExtent l="0" t="0" r="635" b="5715"/>
            <wp:docPr id="13" name="Picture 13">
              <a:hlinkClick xmlns:a="http://schemas.openxmlformats.org/drawingml/2006/main" r:id="rId5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28">
                      <a:extLst>
                        <a:ext uri="{28A0092B-C50C-407E-A947-70E740481C1C}">
                          <a14:useLocalDpi xmlns:a14="http://schemas.microsoft.com/office/drawing/2010/main" val="0"/>
                        </a:ext>
                      </a:extLst>
                    </a:blip>
                    <a:srcRect/>
                    <a:stretch>
                      <a:fillRect/>
                    </a:stretch>
                  </pic:blipFill>
                  <pic:spPr bwMode="auto">
                    <a:xfrm>
                      <a:off x="0" y="0"/>
                      <a:ext cx="1624965" cy="2813685"/>
                    </a:xfrm>
                    <a:prstGeom prst="rect">
                      <a:avLst/>
                    </a:prstGeom>
                    <a:noFill/>
                    <a:ln>
                      <a:noFill/>
                    </a:ln>
                  </pic:spPr>
                </pic:pic>
              </a:graphicData>
            </a:graphic>
          </wp:inline>
        </w:drawing>
      </w:r>
      <w:hyperlink r:id="rId529" w:history="1">
        <w:r w:rsidR="00793DC4">
          <w:rPr>
            <w:color w:val="000000"/>
          </w:rPr>
          <w:t>​</w:t>
        </w:r>
      </w:hyperlink>
    </w:p>
    <w:p w14:paraId="6DE1BD69" w14:textId="77777777" w:rsidR="00793DC4" w:rsidRDefault="00793DC4">
      <w:pPr>
        <w:widowControl w:val="0"/>
        <w:autoSpaceDE w:val="0"/>
        <w:autoSpaceDN w:val="0"/>
        <w:adjustRightInd w:val="0"/>
        <w:jc w:val="both"/>
        <w:rPr>
          <w:color w:val="000000"/>
        </w:rPr>
      </w:pPr>
      <w:r>
        <w:rPr>
          <w:b/>
          <w:bCs/>
          <w:color w:val="000000"/>
        </w:rPr>
        <w:t>*313</w:t>
      </w:r>
    </w:p>
    <w:p w14:paraId="082C47D4" w14:textId="77777777" w:rsidR="00793DC4" w:rsidRDefault="00F61700">
      <w:pPr>
        <w:widowControl w:val="0"/>
        <w:autoSpaceDE w:val="0"/>
        <w:autoSpaceDN w:val="0"/>
        <w:adjustRightInd w:val="0"/>
        <w:jc w:val="both"/>
        <w:rPr>
          <w:color w:val="000000"/>
        </w:rPr>
      </w:pPr>
      <w:r>
        <w:rPr>
          <w:noProof/>
          <w:color w:val="000000"/>
        </w:rPr>
        <w:drawing>
          <wp:inline distT="0" distB="0" distL="0" distR="0" wp14:anchorId="0C933B6D" wp14:editId="075B7501">
            <wp:extent cx="1624965" cy="1821815"/>
            <wp:effectExtent l="0" t="0" r="635" b="6985"/>
            <wp:docPr id="14" name="Picture 14">
              <a:hlinkClick xmlns:a="http://schemas.openxmlformats.org/drawingml/2006/main" r:id="rId5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31">
                      <a:extLst>
                        <a:ext uri="{28A0092B-C50C-407E-A947-70E740481C1C}">
                          <a14:useLocalDpi xmlns:a14="http://schemas.microsoft.com/office/drawing/2010/main" val="0"/>
                        </a:ext>
                      </a:extLst>
                    </a:blip>
                    <a:srcRect/>
                    <a:stretch>
                      <a:fillRect/>
                    </a:stretch>
                  </pic:blipFill>
                  <pic:spPr bwMode="auto">
                    <a:xfrm>
                      <a:off x="0" y="0"/>
                      <a:ext cx="1624965" cy="1821815"/>
                    </a:xfrm>
                    <a:prstGeom prst="rect">
                      <a:avLst/>
                    </a:prstGeom>
                    <a:noFill/>
                    <a:ln>
                      <a:noFill/>
                    </a:ln>
                  </pic:spPr>
                </pic:pic>
              </a:graphicData>
            </a:graphic>
          </wp:inline>
        </w:drawing>
      </w:r>
      <w:hyperlink r:id="rId532" w:history="1">
        <w:r w:rsidR="00793DC4">
          <w:rPr>
            <w:color w:val="000000"/>
          </w:rPr>
          <w:t>​</w:t>
        </w:r>
      </w:hyperlink>
    </w:p>
    <w:p w14:paraId="25CC4C09" w14:textId="77777777" w:rsidR="00793DC4" w:rsidRDefault="00793DC4">
      <w:pPr>
        <w:widowControl w:val="0"/>
        <w:autoSpaceDE w:val="0"/>
        <w:autoSpaceDN w:val="0"/>
        <w:adjustRightInd w:val="0"/>
        <w:spacing w:before="400" w:after="200"/>
        <w:jc w:val="both"/>
        <w:rPr>
          <w:b/>
          <w:bCs/>
          <w:color w:val="212121"/>
        </w:rPr>
      </w:pPr>
      <w:r>
        <w:rPr>
          <w:b/>
          <w:bCs/>
          <w:color w:val="212121"/>
        </w:rPr>
        <w:t>All Citations</w:t>
      </w:r>
    </w:p>
    <w:p w14:paraId="298DBBB4" w14:textId="77777777" w:rsidR="00793DC4" w:rsidRDefault="00793DC4">
      <w:pPr>
        <w:widowControl w:val="0"/>
        <w:autoSpaceDE w:val="0"/>
        <w:autoSpaceDN w:val="0"/>
        <w:adjustRightInd w:val="0"/>
        <w:jc w:val="both"/>
        <w:rPr>
          <w:color w:val="000000"/>
        </w:rPr>
      </w:pPr>
      <w:r>
        <w:rPr>
          <w:color w:val="000000"/>
        </w:rPr>
        <w:t>852 F.3d 268</w:t>
      </w:r>
    </w:p>
    <w:p w14:paraId="3D66B857" w14:textId="77777777" w:rsidR="00793DC4" w:rsidRDefault="00793DC4">
      <w:pPr>
        <w:widowControl w:val="0"/>
        <w:autoSpaceDE w:val="0"/>
        <w:autoSpaceDN w:val="0"/>
        <w:adjustRightInd w:val="0"/>
        <w:rPr>
          <w:rFonts w:ascii="sans-serif" w:hAnsi="sans-serif" w:cs="sans-serif"/>
          <w:color w:val="000000"/>
          <w:sz w:val="24"/>
          <w:szCs w:val="24"/>
        </w:rPr>
      </w:pPr>
    </w:p>
    <w:p w14:paraId="28BAB42E" w14:textId="77777777" w:rsidR="00793DC4" w:rsidRDefault="00793DC4">
      <w:pPr>
        <w:widowControl w:val="0"/>
        <w:autoSpaceDE w:val="0"/>
        <w:autoSpaceDN w:val="0"/>
        <w:adjustRightInd w:val="0"/>
        <w:rPr>
          <w:rFonts w:ascii="Arial" w:hAnsi="Arial" w:cs="Arial"/>
          <w:sz w:val="24"/>
          <w:szCs w:val="24"/>
        </w:rPr>
        <w:sectPr w:rsidR="00793DC4">
          <w:type w:val="continuous"/>
          <w:pgSz w:w="12240" w:h="15840"/>
          <w:pgMar w:top="1800" w:right="1080" w:bottom="1080" w:left="1080" w:header="720" w:footer="720" w:gutter="0"/>
          <w:cols w:num="2" w:space="720"/>
          <w:noEndnote/>
        </w:sectPr>
      </w:pP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793DC4" w14:paraId="1EA2BB7E" w14:textId="77777777">
        <w:tblPrEx>
          <w:tblCellMar>
            <w:top w:w="0" w:type="dxa"/>
            <w:left w:w="0" w:type="dxa"/>
            <w:bottom w:w="0" w:type="dxa"/>
            <w:right w:w="0" w:type="dxa"/>
          </w:tblCellMar>
        </w:tblPrEx>
        <w:tc>
          <w:tcPr>
            <w:tcW w:w="4320" w:type="dxa"/>
            <w:tcBorders>
              <w:top w:val="single" w:sz="4" w:space="0" w:color="777777"/>
              <w:left w:val="nil"/>
              <w:bottom w:val="nil"/>
              <w:right w:val="nil"/>
            </w:tcBorders>
            <w:tcMar>
              <w:top w:w="100" w:type="dxa"/>
              <w:left w:w="24" w:type="dxa"/>
              <w:right w:w="24" w:type="dxa"/>
            </w:tcMar>
          </w:tcPr>
          <w:p w14:paraId="1D9F02A2" w14:textId="77777777" w:rsidR="00793DC4" w:rsidRDefault="00793DC4">
            <w:pPr>
              <w:widowControl w:val="0"/>
              <w:autoSpaceDE w:val="0"/>
              <w:autoSpaceDN w:val="0"/>
              <w:adjustRightInd w:val="0"/>
              <w:ind w:left="24" w:right="24"/>
              <w:rPr>
                <w:rFonts w:ascii="sans-serif" w:hAnsi="sans-serif" w:cs="sans-serif"/>
                <w:b/>
                <w:bCs/>
                <w:color w:val="777777"/>
                <w:sz w:val="16"/>
                <w:szCs w:val="16"/>
              </w:rPr>
            </w:pPr>
            <w:r>
              <w:rPr>
                <w:rFonts w:ascii="sans-serif" w:hAnsi="sans-serif" w:cs="sans-serif"/>
                <w:b/>
                <w:bCs/>
                <w:color w:val="777777"/>
                <w:sz w:val="16"/>
                <w:szCs w:val="16"/>
              </w:rPr>
              <w:t>End of Document</w:t>
            </w:r>
          </w:p>
          <w:p w14:paraId="7834C3FC" w14:textId="77777777" w:rsidR="00793DC4" w:rsidRDefault="00793DC4">
            <w:pPr>
              <w:widowControl w:val="0"/>
              <w:autoSpaceDE w:val="0"/>
              <w:autoSpaceDN w:val="0"/>
              <w:adjustRightInd w:val="0"/>
              <w:ind w:left="24" w:right="24"/>
              <w:rPr>
                <w:rFonts w:ascii="sans-serif" w:hAnsi="sans-serif" w:cs="sans-serif"/>
                <w:b/>
                <w:bCs/>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14:paraId="1B4F9129" w14:textId="77777777" w:rsidR="00793DC4" w:rsidRDefault="00793DC4">
            <w:pPr>
              <w:widowControl w:val="0"/>
              <w:autoSpaceDE w:val="0"/>
              <w:autoSpaceDN w:val="0"/>
              <w:adjustRightInd w:val="0"/>
              <w:ind w:left="24" w:right="24"/>
              <w:jc w:val="right"/>
              <w:rPr>
                <w:rFonts w:ascii="sans-serif" w:hAnsi="sans-serif" w:cs="sans-serif"/>
                <w:color w:val="777777"/>
                <w:sz w:val="16"/>
                <w:szCs w:val="16"/>
              </w:rPr>
            </w:pPr>
            <w:r>
              <w:rPr>
                <w:rFonts w:ascii="sans-serif" w:hAnsi="sans-serif" w:cs="sans-serif"/>
                <w:color w:val="777777"/>
                <w:sz w:val="16"/>
                <w:szCs w:val="16"/>
              </w:rPr>
              <w:t>© 2017 Thomson Reuters. No claim to original U.S. Government Works.</w:t>
            </w:r>
          </w:p>
          <w:p w14:paraId="56809A0D" w14:textId="77777777" w:rsidR="00793DC4" w:rsidRDefault="00793DC4">
            <w:pPr>
              <w:widowControl w:val="0"/>
              <w:autoSpaceDE w:val="0"/>
              <w:autoSpaceDN w:val="0"/>
              <w:adjustRightInd w:val="0"/>
              <w:ind w:left="24" w:right="24"/>
              <w:jc w:val="right"/>
              <w:rPr>
                <w:rFonts w:ascii="sans-serif" w:hAnsi="sans-serif" w:cs="sans-serif"/>
                <w:color w:val="777777"/>
                <w:sz w:val="16"/>
                <w:szCs w:val="16"/>
              </w:rPr>
            </w:pPr>
          </w:p>
        </w:tc>
      </w:tr>
    </w:tbl>
    <w:p w14:paraId="63FF9149" w14:textId="77777777" w:rsidR="00793DC4" w:rsidRDefault="00793DC4">
      <w:pPr>
        <w:widowControl w:val="0"/>
        <w:autoSpaceDE w:val="0"/>
        <w:autoSpaceDN w:val="0"/>
        <w:adjustRightInd w:val="0"/>
        <w:rPr>
          <w:rFonts w:ascii="Arial" w:hAnsi="Arial" w:cs="Arial"/>
          <w:sz w:val="24"/>
          <w:szCs w:val="24"/>
        </w:rPr>
      </w:pPr>
    </w:p>
    <w:p w14:paraId="5E75866B" w14:textId="77777777" w:rsidR="00793DC4" w:rsidRDefault="00793DC4">
      <w:pPr>
        <w:widowControl w:val="0"/>
        <w:autoSpaceDE w:val="0"/>
        <w:autoSpaceDN w:val="0"/>
        <w:adjustRightInd w:val="0"/>
        <w:rPr>
          <w:sz w:val="24"/>
          <w:szCs w:val="24"/>
        </w:rPr>
      </w:pPr>
    </w:p>
    <w:p w14:paraId="5DB29C19" w14:textId="77777777" w:rsidR="00793DC4" w:rsidRDefault="00793DC4">
      <w:pPr>
        <w:widowControl w:val="0"/>
        <w:autoSpaceDE w:val="0"/>
        <w:autoSpaceDN w:val="0"/>
        <w:adjustRightInd w:val="0"/>
        <w:rPr>
          <w:rFonts w:ascii="Arial" w:hAnsi="Arial" w:cs="Arial"/>
          <w:sz w:val="24"/>
          <w:szCs w:val="24"/>
        </w:rPr>
        <w:sectPr w:rsidR="00793DC4">
          <w:type w:val="continuous"/>
          <w:pgSz w:w="12240" w:h="15840"/>
          <w:pgMar w:top="1800" w:right="1080" w:bottom="1080" w:left="1080" w:header="720" w:footer="720" w:gutter="0"/>
          <w:cols w:space="720"/>
          <w:noEndnote/>
        </w:sectPr>
      </w:pPr>
    </w:p>
    <w:p w14:paraId="281B5422" w14:textId="77777777" w:rsidR="00793DC4" w:rsidRDefault="00793DC4">
      <w:pPr>
        <w:widowControl w:val="0"/>
        <w:autoSpaceDE w:val="0"/>
        <w:autoSpaceDN w:val="0"/>
        <w:adjustRightInd w:val="0"/>
        <w:rPr>
          <w:rFonts w:ascii="Arial" w:hAnsi="Arial" w:cs="Arial"/>
          <w:sz w:val="24"/>
          <w:szCs w:val="24"/>
        </w:rPr>
      </w:pPr>
    </w:p>
    <w:sectPr w:rsidR="00793DC4">
      <w:type w:val="continuous"/>
      <w:pgSz w:w="12240" w:h="15840"/>
      <w:pgMar w:top="1800" w:right="1080" w:bottom="1080" w:left="1080" w:header="720" w:footer="720" w:gutter="0"/>
      <w:cols w:num="2"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43B4D" w14:textId="77777777" w:rsidR="00DD3B65" w:rsidRDefault="00DD3B65">
      <w:r>
        <w:separator/>
      </w:r>
    </w:p>
  </w:endnote>
  <w:endnote w:type="continuationSeparator" w:id="0">
    <w:p w14:paraId="40C88252" w14:textId="77777777" w:rsidR="00DD3B65" w:rsidRDefault="00DD3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sans-serif">
    <w:altName w:val="Times New Roma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00"/>
      <w:gridCol w:w="700"/>
    </w:tblGrid>
    <w:tr w:rsidR="00DD3B65" w14:paraId="753383C3" w14:textId="77777777">
      <w:tblPrEx>
        <w:tblCellMar>
          <w:top w:w="0" w:type="dxa"/>
          <w:left w:w="0" w:type="dxa"/>
          <w:bottom w:w="0" w:type="dxa"/>
          <w:right w:w="0" w:type="dxa"/>
        </w:tblCellMar>
      </w:tblPrEx>
      <w:tc>
        <w:tcPr>
          <w:tcW w:w="9300" w:type="dxa"/>
          <w:tcBorders>
            <w:top w:val="single" w:sz="8" w:space="0" w:color="AAAAAA"/>
            <w:left w:val="nil"/>
            <w:bottom w:val="nil"/>
            <w:right w:val="nil"/>
          </w:tcBorders>
          <w:tcMar>
            <w:top w:w="60" w:type="dxa"/>
          </w:tcMar>
          <w:vAlign w:val="bottom"/>
        </w:tcPr>
        <w:p w14:paraId="64FA6948" w14:textId="77777777" w:rsidR="00DD3B65" w:rsidRDefault="00DD3B65">
          <w:pPr>
            <w:widowControl w:val="0"/>
            <w:autoSpaceDE w:val="0"/>
            <w:autoSpaceDN w:val="0"/>
            <w:adjustRightInd w:val="0"/>
            <w:rPr>
              <w:rFonts w:ascii="Arial" w:hAnsi="Arial" w:cs="Arial"/>
              <w:color w:val="AAAAAA"/>
            </w:rPr>
          </w:pPr>
          <w:r>
            <w:rPr>
              <w:rFonts w:ascii="Arial" w:hAnsi="Arial" w:cs="Arial"/>
              <w:noProof/>
              <w:color w:val="AAAAAA"/>
            </w:rPr>
            <w:drawing>
              <wp:inline distT="0" distB="0" distL="0" distR="0" wp14:anchorId="44166119" wp14:editId="2997CFB4">
                <wp:extent cx="745490" cy="984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490" cy="98425"/>
                        </a:xfrm>
                        <a:prstGeom prst="rect">
                          <a:avLst/>
                        </a:prstGeom>
                        <a:noFill/>
                        <a:ln>
                          <a:noFill/>
                        </a:ln>
                      </pic:spPr>
                    </pic:pic>
                  </a:graphicData>
                </a:graphic>
              </wp:inline>
            </w:drawing>
          </w:r>
          <w:r>
            <w:rPr>
              <w:rFonts w:ascii="Arial" w:hAnsi="Arial" w:cs="Arial"/>
              <w:color w:val="AAAAAA"/>
            </w:rPr>
            <w:t xml:space="preserve"> © 2017 Thomson Reuters. No claim to original U.S. Government Works.</w:t>
          </w:r>
        </w:p>
      </w:tc>
      <w:tc>
        <w:tcPr>
          <w:tcW w:w="700" w:type="dxa"/>
          <w:tcBorders>
            <w:top w:val="single" w:sz="8" w:space="0" w:color="AAAAAA"/>
            <w:left w:val="nil"/>
            <w:bottom w:val="nil"/>
            <w:right w:val="nil"/>
          </w:tcBorders>
          <w:tcMar>
            <w:top w:w="60" w:type="dxa"/>
          </w:tcMar>
        </w:tcPr>
        <w:p w14:paraId="75A5D043" w14:textId="77777777" w:rsidR="00DD3B65" w:rsidRDefault="00DD3B65">
          <w:pPr>
            <w:widowControl w:val="0"/>
            <w:autoSpaceDE w:val="0"/>
            <w:autoSpaceDN w:val="0"/>
            <w:adjustRightInd w:val="0"/>
            <w:jc w:val="right"/>
            <w:rPr>
              <w:rFonts w:ascii="Arial" w:hAnsi="Arial" w:cs="Arial"/>
              <w:color w:val="AAAAAA"/>
            </w:rPr>
          </w:pPr>
          <w:r>
            <w:rPr>
              <w:rFonts w:ascii="Arial" w:hAnsi="Arial" w:cs="Arial"/>
              <w:color w:val="AAAAAA"/>
            </w:rPr>
            <w:pgNum/>
          </w:r>
        </w:p>
      </w:tc>
    </w:tr>
  </w:tbl>
  <w:p w14:paraId="5452BF8F" w14:textId="77777777" w:rsidR="00DD3B65" w:rsidRDefault="00DD3B65">
    <w:pPr>
      <w:widowControl w:val="0"/>
      <w:autoSpaceDE w:val="0"/>
      <w:autoSpaceDN w:val="0"/>
      <w:adjustRightInd w:val="0"/>
      <w:rPr>
        <w:rFonts w:ascii="Arial" w:hAnsi="Arial"/>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467E0" w14:textId="77777777" w:rsidR="00DD3B65" w:rsidRDefault="00DD3B65">
      <w:r>
        <w:separator/>
      </w:r>
    </w:p>
  </w:footnote>
  <w:footnote w:type="continuationSeparator" w:id="0">
    <w:p w14:paraId="453593A8" w14:textId="77777777" w:rsidR="00DD3B65" w:rsidRDefault="00DD3B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80"/>
      <w:gridCol w:w="700"/>
    </w:tblGrid>
    <w:tr w:rsidR="00DD3B65" w14:paraId="1CE4CE04" w14:textId="77777777">
      <w:tblPrEx>
        <w:tblCellMar>
          <w:top w:w="0" w:type="dxa"/>
          <w:left w:w="0" w:type="dxa"/>
          <w:bottom w:w="0" w:type="dxa"/>
          <w:right w:w="0" w:type="dxa"/>
        </w:tblCellMar>
      </w:tblPrEx>
      <w:trPr>
        <w:gridAfter w:val="1"/>
        <w:wAfter w:w="700" w:type="dxa"/>
      </w:trPr>
      <w:tc>
        <w:tcPr>
          <w:tcW w:w="9380" w:type="dxa"/>
          <w:tcBorders>
            <w:top w:val="nil"/>
            <w:left w:val="nil"/>
            <w:bottom w:val="nil"/>
            <w:right w:val="nil"/>
          </w:tcBorders>
          <w:tcMar>
            <w:top w:w="400" w:type="dxa"/>
            <w:bottom w:w="60" w:type="dxa"/>
          </w:tcMar>
          <w:vAlign w:val="bottom"/>
        </w:tcPr>
        <w:p w14:paraId="1156C15F" w14:textId="77777777" w:rsidR="00DD3B65" w:rsidRDefault="00DD3B65">
          <w:pPr>
            <w:widowControl w:val="0"/>
            <w:autoSpaceDE w:val="0"/>
            <w:autoSpaceDN w:val="0"/>
            <w:adjustRightInd w:val="0"/>
            <w:jc w:val="center"/>
            <w:rPr>
              <w:rFonts w:ascii="Arial" w:hAnsi="Arial" w:cs="Arial"/>
              <w:color w:val="000000"/>
              <w:sz w:val="18"/>
              <w:szCs w:val="18"/>
            </w:rPr>
          </w:pPr>
          <w:r>
            <w:rPr>
              <w:rFonts w:ascii="Arial" w:hAnsi="Arial" w:cs="Arial"/>
              <w:b/>
              <w:bCs/>
              <w:color w:val="000000"/>
              <w:sz w:val="18"/>
              <w:szCs w:val="18"/>
            </w:rPr>
            <w:t>Burch, Elizabeth</w:t>
          </w:r>
          <w:r>
            <w:rPr>
              <w:rFonts w:ascii="Arial" w:hAnsi="Arial" w:cs="Arial"/>
              <w:color w:val="000000"/>
              <w:sz w:val="18"/>
              <w:szCs w:val="18"/>
            </w:rPr>
            <w:t xml:space="preserve"> </w:t>
          </w:r>
          <w:r>
            <w:rPr>
              <w:rFonts w:ascii="Arial" w:hAnsi="Arial" w:cs="Arial"/>
              <w:b/>
              <w:bCs/>
              <w:color w:val="000000"/>
              <w:sz w:val="18"/>
              <w:szCs w:val="18"/>
            </w:rPr>
            <w:t>5/12/2017</w:t>
          </w:r>
        </w:p>
        <w:p w14:paraId="48451288" w14:textId="77777777" w:rsidR="00DD3B65" w:rsidRDefault="00DD3B65">
          <w:pPr>
            <w:widowControl w:val="0"/>
            <w:autoSpaceDE w:val="0"/>
            <w:autoSpaceDN w:val="0"/>
            <w:adjustRightInd w:val="0"/>
            <w:jc w:val="center"/>
            <w:rPr>
              <w:rFonts w:ascii="Arial" w:hAnsi="Arial" w:cs="Arial"/>
              <w:color w:val="000000"/>
              <w:sz w:val="18"/>
              <w:szCs w:val="18"/>
            </w:rPr>
          </w:pPr>
          <w:r>
            <w:rPr>
              <w:rFonts w:ascii="Arial" w:hAnsi="Arial" w:cs="Arial"/>
              <w:b/>
              <w:bCs/>
              <w:color w:val="000000"/>
              <w:sz w:val="18"/>
              <w:szCs w:val="18"/>
            </w:rPr>
            <w:t>For Educational Use Only</w:t>
          </w:r>
        </w:p>
      </w:tc>
    </w:tr>
    <w:tr w:rsidR="00DD3B65" w14:paraId="298BF58E" w14:textId="77777777">
      <w:tblPrEx>
        <w:tblCellMar>
          <w:top w:w="0" w:type="dxa"/>
          <w:left w:w="0" w:type="dxa"/>
          <w:bottom w:w="0" w:type="dxa"/>
          <w:right w:w="0" w:type="dxa"/>
        </w:tblCellMar>
      </w:tblPrEx>
      <w:tc>
        <w:tcPr>
          <w:tcW w:w="9380" w:type="dxa"/>
          <w:tcBorders>
            <w:top w:val="nil"/>
            <w:left w:val="nil"/>
            <w:bottom w:val="single" w:sz="8" w:space="0" w:color="AAAAAA"/>
            <w:right w:val="nil"/>
          </w:tcBorders>
          <w:tcMar>
            <w:top w:w="400" w:type="dxa"/>
            <w:bottom w:w="60" w:type="dxa"/>
          </w:tcMar>
          <w:vAlign w:val="bottom"/>
        </w:tcPr>
        <w:p w14:paraId="10C0246E" w14:textId="77777777" w:rsidR="00DD3B65" w:rsidRDefault="00DD3B65">
          <w:pPr>
            <w:widowControl w:val="0"/>
            <w:autoSpaceDE w:val="0"/>
            <w:autoSpaceDN w:val="0"/>
            <w:adjustRightInd w:val="0"/>
            <w:rPr>
              <w:rFonts w:ascii="Arial" w:hAnsi="Arial" w:cs="Arial"/>
              <w:color w:val="000000"/>
              <w:sz w:val="18"/>
              <w:szCs w:val="18"/>
            </w:rPr>
          </w:pPr>
          <w:r>
            <w:rPr>
              <w:rFonts w:ascii="Arial" w:hAnsi="Arial" w:cs="Arial"/>
              <w:b/>
              <w:bCs/>
              <w:color w:val="555555"/>
              <w:sz w:val="18"/>
              <w:szCs w:val="18"/>
            </w:rPr>
            <w:t>In re Fosamax (Alendronate Sodium) Products Liability Litigation, 852 F.3d 268 (2017)</w:t>
          </w:r>
        </w:p>
      </w:tc>
      <w:tc>
        <w:tcPr>
          <w:tcW w:w="700" w:type="dxa"/>
          <w:tcBorders>
            <w:top w:val="nil"/>
            <w:left w:val="nil"/>
            <w:bottom w:val="single" w:sz="8" w:space="0" w:color="AAAAAA"/>
            <w:right w:val="nil"/>
          </w:tcBorders>
          <w:tcMar>
            <w:top w:w="400" w:type="dxa"/>
            <w:bottom w:w="60" w:type="dxa"/>
          </w:tcMar>
        </w:tcPr>
        <w:p w14:paraId="3642538C" w14:textId="77777777" w:rsidR="00DD3B65" w:rsidRDefault="00DD3B65">
          <w:pPr>
            <w:widowControl w:val="0"/>
            <w:autoSpaceDE w:val="0"/>
            <w:autoSpaceDN w:val="0"/>
            <w:adjustRightInd w:val="0"/>
            <w:jc w:val="right"/>
            <w:rPr>
              <w:rFonts w:ascii="Arial" w:hAnsi="Arial" w:cs="Arial"/>
              <w:color w:val="000000"/>
              <w:sz w:val="18"/>
              <w:szCs w:val="18"/>
            </w:rPr>
          </w:pPr>
        </w:p>
      </w:tc>
    </w:tr>
    <w:tr w:rsidR="00DD3B65" w14:paraId="448F6862" w14:textId="77777777">
      <w:tblPrEx>
        <w:tblCellMar>
          <w:top w:w="0" w:type="dxa"/>
          <w:left w:w="0" w:type="dxa"/>
          <w:bottom w:w="0" w:type="dxa"/>
          <w:right w:w="0" w:type="dxa"/>
        </w:tblCellMar>
      </w:tblPrEx>
      <w:tc>
        <w:tcPr>
          <w:tcW w:w="10080" w:type="dxa"/>
          <w:gridSpan w:val="2"/>
          <w:tcBorders>
            <w:top w:val="nil"/>
            <w:left w:val="nil"/>
            <w:bottom w:val="nil"/>
            <w:right w:val="nil"/>
          </w:tcBorders>
        </w:tcPr>
        <w:p w14:paraId="79581E4D" w14:textId="77777777" w:rsidR="00DD3B65" w:rsidRDefault="00DD3B65">
          <w:pPr>
            <w:widowControl w:val="0"/>
            <w:autoSpaceDE w:val="0"/>
            <w:autoSpaceDN w:val="0"/>
            <w:adjustRightInd w:val="0"/>
            <w:rPr>
              <w:rFonts w:ascii="Arial" w:hAnsi="Arial" w:cs="Arial"/>
              <w:color w:val="000000"/>
              <w:sz w:val="18"/>
              <w:szCs w:val="18"/>
            </w:rPr>
          </w:pPr>
        </w:p>
      </w:tc>
    </w:tr>
  </w:tbl>
  <w:p w14:paraId="4CA44D8B" w14:textId="77777777" w:rsidR="00DD3B65" w:rsidRDefault="00DD3B65">
    <w:pPr>
      <w:widowControl w:val="0"/>
      <w:autoSpaceDE w:val="0"/>
      <w:autoSpaceDN w:val="0"/>
      <w:adjustRightInd w:val="0"/>
      <w:rPr>
        <w:rFonts w:ascii="Arial" w:hAnsi="Arial"/>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09D0D"/>
    <w:multiLevelType w:val="singleLevel"/>
    <w:tmpl w:val="365503DD"/>
    <w:lvl w:ilvl="0">
      <w:numFmt w:val="decimal"/>
      <w:lvlText w:val=" "/>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700"/>
    <w:rsid w:val="00174EEF"/>
    <w:rsid w:val="002434E8"/>
    <w:rsid w:val="00616B59"/>
    <w:rsid w:val="00793DC4"/>
    <w:rsid w:val="00DD3B65"/>
    <w:rsid w:val="00F6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3A6A4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D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DC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D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DC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510" Type="http://schemas.openxmlformats.org/officeDocument/2006/relationships/image" Target="media/image6.png"/><Relationship Id="rId511" Type="http://schemas.openxmlformats.org/officeDocument/2006/relationships/hyperlink" Target="http://www.westlaw.com/Link/Document/Blob/I49963400136311e7b193010000000000.png?originationContext=document&amp;vr=3.0&amp;rs=cblt1.0&amp;transitionType=DocumentImage&amp;contextData=(sc.UserEnteredCitation)" TargetMode="External"/><Relationship Id="rId512" Type="http://schemas.openxmlformats.org/officeDocument/2006/relationships/hyperlink" Target="http://www.westlaw.com/Link/Document/Blob/I49a32c50136311e7b193010000000000.png?originationContext=document&amp;vr=3.0&amp;rs=cblt1.0&amp;transitionType=DocumentImage&amp;contextData=(sc.UserEnteredCitation)" TargetMode="External"/><Relationship Id="rId20" Type="http://schemas.openxmlformats.org/officeDocument/2006/relationships/hyperlink" Target="http://www.westlaw.com/Link/Document/FullText?findType=h&amp;pubNum=176284&amp;cite=0280781101&amp;originatingDoc=I1a2ed5c00f6511e79c1dcfeada4fe8e0&amp;refType=RQ&amp;originationContext=document&amp;vr=3.0&amp;rs=cblt1.0&amp;transitionType=DocumentItem&amp;contextData=(sc.UserEnteredCitation)" TargetMode="External"/><Relationship Id="rId21" Type="http://schemas.openxmlformats.org/officeDocument/2006/relationships/hyperlink" Target="http://www.westlaw.com/Link/Document/FullText?findType=h&amp;pubNum=176284&amp;cite=0161229601&amp;originatingDoc=I1a2ed5c00f6511e79c1dcfeada4fe8e0&amp;refType=RQ&amp;originationContext=document&amp;vr=3.0&amp;rs=cblt1.0&amp;transitionType=DocumentItem&amp;contextData=(sc.UserEnteredCitation)" TargetMode="External"/><Relationship Id="rId22" Type="http://schemas.openxmlformats.org/officeDocument/2006/relationships/hyperlink" Target="http://www.westlaw.com/Link/Document/FullText?findType=h&amp;pubNum=176284&amp;cite=0344561701&amp;originatingDoc=I1a2ed5c00f6511e79c1dcfeada4fe8e0&amp;refType=RQ&amp;originationContext=document&amp;vr=3.0&amp;rs=cblt1.0&amp;transitionType=DocumentItem&amp;contextData=(sc.UserEnteredCitation)" TargetMode="External"/><Relationship Id="rId23" Type="http://schemas.openxmlformats.org/officeDocument/2006/relationships/hyperlink" Target="http://www.westlaw.com/Link/Document/FullText?findType=h&amp;pubNum=176284&amp;cite=0113710401&amp;originatingDoc=I1a2ed5c00f6511e79c1dcfeada4fe8e0&amp;refType=RQ&amp;originationContext=document&amp;vr=3.0&amp;rs=cblt1.0&amp;transitionType=DocumentItem&amp;contextData=(sc.UserEnteredCitation)" TargetMode="External"/><Relationship Id="rId24" Type="http://schemas.openxmlformats.org/officeDocument/2006/relationships/hyperlink" Target="http://www.westlaw.com/Link/Document/FullText?findType=h&amp;pubNum=176284&amp;cite=0193149701&amp;originatingDoc=I1a2ed5c00f6511e79c1dcfeada4fe8e0&amp;refType=RQ&amp;originationContext=document&amp;vr=3.0&amp;rs=cblt1.0&amp;transitionType=DocumentItem&amp;contextData=(sc.UserEnteredCitation)" TargetMode="External"/><Relationship Id="rId25" Type="http://schemas.openxmlformats.org/officeDocument/2006/relationships/hyperlink" Target="http://www.westlaw.com/Link/Document/FullText?findType=h&amp;pubNum=176284&amp;cite=0356010801&amp;originatingDoc=I1a2ed5c00f6511e79c1dcfeada4fe8e0&amp;refType=RQ&amp;originationContext=document&amp;vr=3.0&amp;rs=cblt1.0&amp;transitionType=DocumentItem&amp;contextData=(sc.UserEnteredCitation)" TargetMode="External"/><Relationship Id="rId26" Type="http://schemas.openxmlformats.org/officeDocument/2006/relationships/hyperlink" Target="http://www.westlaw.com/Link/Document/FullText?findType=h&amp;pubNum=176284&amp;cite=0178483401&amp;originatingDoc=I1a2ed5c00f6511e79c1dcfeada4fe8e0&amp;refType=RQ&amp;originationContext=document&amp;vr=3.0&amp;rs=cblt1.0&amp;transitionType=DocumentItem&amp;contextData=(sc.UserEnteredCitation)" TargetMode="External"/><Relationship Id="rId27" Type="http://schemas.openxmlformats.org/officeDocument/2006/relationships/hyperlink" Target="http://www.westlaw.com/Link/Document/FullText?findType=h&amp;pubNum=176284&amp;cite=0145679401&amp;originatingDoc=I1a2ed5c00f6511e79c1dcfeada4fe8e0&amp;refType=RQ&amp;originationContext=document&amp;vr=3.0&amp;rs=cblt1.0&amp;transitionType=DocumentItem&amp;contextData=(sc.UserEnteredCitation)" TargetMode="External"/><Relationship Id="rId28" Type="http://schemas.openxmlformats.org/officeDocument/2006/relationships/hyperlink" Target="http://www.westlaw.com/Link/Document/FullText?findType=h&amp;pubNum=176284&amp;cite=0215859601&amp;originatingDoc=I1a2ed5c00f6511e79c1dcfeada4fe8e0&amp;refType=RQ&amp;originationContext=document&amp;vr=3.0&amp;rs=cblt1.0&amp;transitionType=DocumentItem&amp;contextData=(sc.UserEnteredCitation)" TargetMode="External"/><Relationship Id="rId29" Type="http://schemas.openxmlformats.org/officeDocument/2006/relationships/hyperlink" Target="http://www.westlaw.com/Link/Document/FullText?findType=h&amp;pubNum=176284&amp;cite=0181096101&amp;originatingDoc=I1a2ed5c00f6511e79c1dcfeada4fe8e0&amp;refType=RQ&amp;originationContext=document&amp;vr=3.0&amp;rs=cblt1.0&amp;transitionType=DocumentItem&amp;contextData=(sc.UserEnteredCitation)" TargetMode="External"/><Relationship Id="rId513" Type="http://schemas.openxmlformats.org/officeDocument/2006/relationships/image" Target="media/image7.png"/><Relationship Id="rId514" Type="http://schemas.openxmlformats.org/officeDocument/2006/relationships/hyperlink" Target="http://www.westlaw.com/Link/Document/Blob/I49a32c50136311e7b193010000000000.png?originationContext=document&amp;vr=3.0&amp;rs=cblt1.0&amp;transitionType=DocumentImage&amp;contextData=(sc.UserEnteredCitation)" TargetMode="External"/><Relationship Id="rId515" Type="http://schemas.openxmlformats.org/officeDocument/2006/relationships/hyperlink" Target="http://www.westlaw.com/Link/Document/Blob/I49b13610136311e7b193010000000000.png?originationContext=document&amp;vr=3.0&amp;rs=cblt1.0&amp;transitionType=DocumentImage&amp;contextData=(sc.UserEnteredCitation)" TargetMode="External"/><Relationship Id="rId516" Type="http://schemas.openxmlformats.org/officeDocument/2006/relationships/image" Target="media/image8.png"/><Relationship Id="rId517" Type="http://schemas.openxmlformats.org/officeDocument/2006/relationships/hyperlink" Target="http://www.westlaw.com/Link/Document/Blob/I49b13610136311e7b193010000000000.png?originationContext=document&amp;vr=3.0&amp;rs=cblt1.0&amp;transitionType=DocumentImage&amp;contextData=(sc.UserEnteredCitation)" TargetMode="External"/><Relationship Id="rId518" Type="http://schemas.openxmlformats.org/officeDocument/2006/relationships/hyperlink" Target="http://www.westlaw.com/Link/Document/Blob/I49af1330136311e7b193010000000000.png?originationContext=document&amp;vr=3.0&amp;rs=cblt1.0&amp;transitionType=DocumentImage&amp;contextData=(sc.UserEnteredCitation)" TargetMode="External"/><Relationship Id="rId519" Type="http://schemas.openxmlformats.org/officeDocument/2006/relationships/image" Target="media/image9.png"/><Relationship Id="rId170" Type="http://schemas.openxmlformats.org/officeDocument/2006/relationships/hyperlink" Target="http://www.westlaw.com/Link/Document/FullText?entityType=injury&amp;entityId=Ib29e10dc475411db9765f9243f53508a&amp;originationContext=document&amp;transitionType=DocumentItem&amp;contextData=(sc.Default)&amp;vr=3.0&amp;rs=cblt1.0" TargetMode="External"/><Relationship Id="rId171"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172"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173"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174" Type="http://schemas.openxmlformats.org/officeDocument/2006/relationships/hyperlink" Target="http://www.westlaw.com/Link/Document/FullText?findType=Y&amp;serNum=2025387339&amp;pubNum=0004637&amp;originatingDoc=I1a2ed5c00f6511e79c1dcfeada4fe8e0&amp;refType=RP&amp;originationContext=document&amp;vr=3.0&amp;rs=cblt1.0&amp;transitionType=DocumentItem&amp;contextData=(sc.UserEnteredCitation)" TargetMode="External"/><Relationship Id="rId175" Type="http://schemas.openxmlformats.org/officeDocument/2006/relationships/hyperlink" Target="http://www.westlaw.com/Link/Document/FullText?findType=Y&amp;serNum=2025387339&amp;pubNum=0004637&amp;originatingDoc=I1a2ed5c00f6511e79c1dcfeada4fe8e0&amp;refType=RP&amp;originationContext=document&amp;vr=3.0&amp;rs=cblt1.0&amp;transitionType=DocumentItem&amp;contextData=(sc.UserEnteredCitation)" TargetMode="External"/><Relationship Id="rId176"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177"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178"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179"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230"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231" Type="http://schemas.openxmlformats.org/officeDocument/2006/relationships/hyperlink" Target="http://www.westlaw.com/Link/Document/FullText?entityType=disease&amp;entityId=Icb5435c1475411db9765f9243f53508a&amp;originationContext=document&amp;transitionType=DocumentItem&amp;contextData=(sc.Default)&amp;vr=3.0&amp;rs=cblt1.0" TargetMode="External"/><Relationship Id="rId232" Type="http://schemas.openxmlformats.org/officeDocument/2006/relationships/hyperlink" Target="http://www.westlaw.com/Link/Document/FullText?entityType=bdrug&amp;entityId=I37b9865b475111db9765f9243f53508a&amp;originationContext=document&amp;transitionType=DocumentItem&amp;contextData=(sc.Default)&amp;vr=3.0&amp;rs=cblt1.0" TargetMode="External"/><Relationship Id="rId233" Type="http://schemas.openxmlformats.org/officeDocument/2006/relationships/hyperlink" Target="http://www.westlaw.com/Link/Document/FullText?entityType=bdrug&amp;entityId=I37b9865b475111db9765f9243f53508a&amp;originationContext=document&amp;transitionType=DocumentItem&amp;contextData=(sc.Default)&amp;vr=3.0&amp;rs=cblt1.0" TargetMode="External"/><Relationship Id="rId234" Type="http://schemas.openxmlformats.org/officeDocument/2006/relationships/hyperlink" Target="http://www.westlaw.com/Link/Document/FullText?findType=Y&amp;serNum=2018265400&amp;pubNum=0000708&amp;originatingDoc=I1a2ed5c00f6511e79c1dcfeada4fe8e0&amp;refType=RP&amp;originationContext=document&amp;vr=3.0&amp;rs=cblt1.0&amp;transitionType=DocumentItem&amp;contextData=(sc.UserEnteredCitation)" TargetMode="External"/><Relationship Id="rId235" Type="http://schemas.openxmlformats.org/officeDocument/2006/relationships/hyperlink" Target="http://www.westlaw.com/Link/Document/FullText?findType=Y&amp;serNum=2018265400&amp;pubNum=0000708&amp;originatingDoc=I1a2ed5c00f6511e79c1dcfeada4fe8e0&amp;refType=RP&amp;fi=co_pp_sp_708_570&amp;originationContext=document&amp;vr=3.0&amp;rs=cblt1.0&amp;transitionType=DocumentItem&amp;contextData=(sc.UserEnteredCitation)#co_pp_sp_708_570" TargetMode="External"/><Relationship Id="rId236" Type="http://schemas.openxmlformats.org/officeDocument/2006/relationships/hyperlink" Target="http://www.westlaw.com/Link/Document/FullText?findType=Y&amp;serNum=2018265400&amp;pubNum=0000708&amp;originatingDoc=I1a2ed5c00f6511e79c1dcfeada4fe8e0&amp;refType=RP&amp;fi=co_pp_sp_708_571&amp;originationContext=document&amp;vr=3.0&amp;rs=cblt1.0&amp;transitionType=DocumentItem&amp;contextData=(sc.UserEnteredCitation)#co_pp_sp_708_571" TargetMode="External"/><Relationship Id="rId237"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238" Type="http://schemas.openxmlformats.org/officeDocument/2006/relationships/hyperlink" Target="http://www.westlaw.com/Link/Document/FullText?entityType=disease&amp;entityId=Icb5435c1475411db9765f9243f53508a&amp;originationContext=document&amp;transitionType=DocumentItem&amp;contextData=(sc.Default)&amp;vr=3.0&amp;rs=cblt1.0" TargetMode="External"/><Relationship Id="rId239" Type="http://schemas.openxmlformats.org/officeDocument/2006/relationships/hyperlink" Target="http://www.westlaw.com/Link/Document/FullText?findType=Y&amp;serNum=2018265400&amp;pubNum=0000708&amp;originatingDoc=I1a2ed5c00f6511e79c1dcfeada4fe8e0&amp;refType=RP&amp;fi=co_pp_sp_708_568&amp;originationContext=document&amp;vr=3.0&amp;rs=cblt1.0&amp;transitionType=DocumentItem&amp;contextData=(sc.UserEnteredCitation)#co_pp_sp_708_568" TargetMode="External"/><Relationship Id="rId460" Type="http://schemas.openxmlformats.org/officeDocument/2006/relationships/hyperlink" Target="http://www.westlaw.com/Link/Document/FullText?entityType=injury&amp;entityId=Ib29e10dc475411db9765f9243f53508a&amp;originationContext=document&amp;transitionType=DocumentItem&amp;contextData=(sc.Default)&amp;vr=3.0&amp;rs=cblt1.0" TargetMode="External"/><Relationship Id="rId461"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462"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463" Type="http://schemas.openxmlformats.org/officeDocument/2006/relationships/hyperlink" Target="http://www.westlaw.com/Link/Document/FullText?findType=Y&amp;serNum=2018265400&amp;pubNum=0000708&amp;originatingDoc=I1a2ed5c00f6511e79c1dcfeada4fe8e0&amp;refType=RP&amp;originationContext=document&amp;vr=3.0&amp;rs=cblt1.0&amp;transitionType=DocumentItem&amp;contextData=(sc.UserEnteredCitation)" TargetMode="External"/><Relationship Id="rId464" Type="http://schemas.openxmlformats.org/officeDocument/2006/relationships/hyperlink" Target="http://www.westlaw.com/Link/Document/FullText?findType=L&amp;pubNum=1000546&amp;cite=21USCAS355&amp;originatingDoc=I1a2ed5c00f6511e79c1dcfeada4fe8e0&amp;refType=SP&amp;originationContext=document&amp;vr=3.0&amp;rs=cblt1.0&amp;transitionType=DocumentItem&amp;contextData=(sc.UserEnteredCitation)#co_pp_8fbe000087e17" TargetMode="External"/><Relationship Id="rId465"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466"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467" Type="http://schemas.openxmlformats.org/officeDocument/2006/relationships/hyperlink" Target="http://www.westlaw.com/Link/Document/FullText?findType=L&amp;pubNum=1000600&amp;cite=USFRCPR56&amp;originatingDoc=I1a2ed5c00f6511e79c1dcfeada4fe8e0&amp;refType=LQ&amp;originationContext=document&amp;vr=3.0&amp;rs=cblt1.0&amp;transitionType=DocumentItem&amp;contextData=(sc.UserEnteredCitation)" TargetMode="External"/><Relationship Id="rId468"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469"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520" Type="http://schemas.openxmlformats.org/officeDocument/2006/relationships/hyperlink" Target="http://www.westlaw.com/Link/Document/Blob/I49af1330136311e7b193010000000000.png?originationContext=document&amp;vr=3.0&amp;rs=cblt1.0&amp;transitionType=DocumentImage&amp;contextData=(sc.UserEnteredCitation)" TargetMode="External"/><Relationship Id="rId521" Type="http://schemas.openxmlformats.org/officeDocument/2006/relationships/hyperlink" Target="http://www.westlaw.com/Link/Document/Blob/I49a88380136311e7b193010000000000.png?originationContext=document&amp;vr=3.0&amp;rs=cblt1.0&amp;transitionType=DocumentImage&amp;contextData=(sc.UserEnteredCitation)" TargetMode="External"/><Relationship Id="rId522" Type="http://schemas.openxmlformats.org/officeDocument/2006/relationships/image" Target="media/image10.png"/><Relationship Id="rId30" Type="http://schemas.openxmlformats.org/officeDocument/2006/relationships/hyperlink" Target="http://www.westlaw.com/Link/Document/FullText?findType=h&amp;pubNum=176284&amp;cite=0163090201&amp;originatingDoc=I1a2ed5c00f6511e79c1dcfeada4fe8e0&amp;refType=RQ&amp;originationContext=document&amp;vr=3.0&amp;rs=cblt1.0&amp;transitionType=DocumentItem&amp;contextData=(sc.UserEnteredCitation)" TargetMode="External"/><Relationship Id="rId31" Type="http://schemas.openxmlformats.org/officeDocument/2006/relationships/hyperlink" Target="http://www.westlaw.com/Link/Document/FullText?findType=h&amp;pubNum=176284&amp;cite=0131875001&amp;originatingDoc=I1a2ed5c00f6511e79c1dcfeada4fe8e0&amp;refType=RQ&amp;originationContext=document&amp;vr=3.0&amp;rs=cblt1.0&amp;transitionType=DocumentItem&amp;contextData=(sc.UserEnteredCitation)" TargetMode="External"/><Relationship Id="rId32" Type="http://schemas.openxmlformats.org/officeDocument/2006/relationships/hyperlink" Target="http://www.westlaw.com/Link/Document/FullText?findType=h&amp;pubNum=176284&amp;cite=0333880901&amp;originatingDoc=I1a2ed5c00f6511e79c1dcfeada4fe8e0&amp;refType=RQ&amp;originationContext=document&amp;vr=3.0&amp;rs=cblt1.0&amp;transitionType=DocumentItem&amp;contextData=(sc.UserEnteredCitation)" TargetMode="External"/><Relationship Id="rId33" Type="http://schemas.openxmlformats.org/officeDocument/2006/relationships/hyperlink" Target="http://www.westlaw.com/Link/Document/FullText?findType=h&amp;pubNum=176284&amp;cite=0460008501&amp;originatingDoc=I1a2ed5c00f6511e79c1dcfeada4fe8e0&amp;refType=RQ&amp;originationContext=document&amp;vr=3.0&amp;rs=cblt1.0&amp;transitionType=DocumentItem&amp;contextData=(sc.UserEnteredCitation)" TargetMode="External"/><Relationship Id="rId34" Type="http://schemas.openxmlformats.org/officeDocument/2006/relationships/hyperlink" Target="http://www.westlaw.com/Link/Document/FullText?findType=h&amp;pubNum=176284&amp;cite=0241327601&amp;originatingDoc=I1a2ed5c00f6511e79c1dcfeada4fe8e0&amp;refType=RQ&amp;originationContext=document&amp;vr=3.0&amp;rs=cblt1.0&amp;transitionType=DocumentItem&amp;contextData=(sc.UserEnteredCitation)" TargetMode="External"/><Relationship Id="rId35" Type="http://schemas.openxmlformats.org/officeDocument/2006/relationships/hyperlink" Target="http://www.westlaw.com/Link/Document/FullText?findType=h&amp;pubNum=176284&amp;cite=0459769901&amp;originatingDoc=I1a2ed5c00f6511e79c1dcfeada4fe8e0&amp;refType=RQ&amp;originationContext=document&amp;vr=3.0&amp;rs=cblt1.0&amp;transitionType=DocumentItem&amp;contextData=(sc.UserEnteredCitation)" TargetMode="External"/><Relationship Id="rId36" Type="http://schemas.openxmlformats.org/officeDocument/2006/relationships/hyperlink" Target="http://www.westlaw.com/Link/Document/FullText?findType=h&amp;pubNum=176284&amp;cite=0152999801&amp;originatingDoc=I1a2ed5c00f6511e79c1dcfeada4fe8e0&amp;refType=RQ&amp;originationContext=document&amp;vr=3.0&amp;rs=cblt1.0&amp;transitionType=DocumentItem&amp;contextData=(sc.UserEnteredCitation)" TargetMode="External"/><Relationship Id="rId37" Type="http://schemas.openxmlformats.org/officeDocument/2006/relationships/hyperlink" Target="http://www.westlaw.com/Link/Document/FullText?findType=h&amp;pubNum=176284&amp;cite=0102421001&amp;originatingDoc=I1a2ed5c00f6511e79c1dcfeada4fe8e0&amp;refType=RQ&amp;originationContext=document&amp;vr=3.0&amp;rs=cblt1.0&amp;transitionType=DocumentItem&amp;contextData=(sc.UserEnteredCitation)" TargetMode="External"/><Relationship Id="rId38" Type="http://schemas.openxmlformats.org/officeDocument/2006/relationships/hyperlink" Target="http://www.westlaw.com/Link/Document/FullText?findType=h&amp;pubNum=176284&amp;cite=0280412801&amp;originatingDoc=I1a2ed5c00f6511e79c1dcfeada4fe8e0&amp;refType=RQ&amp;originationContext=document&amp;vr=3.0&amp;rs=cblt1.0&amp;transitionType=DocumentItem&amp;contextData=(sc.UserEnteredCitation)" TargetMode="External"/><Relationship Id="rId39" Type="http://schemas.openxmlformats.org/officeDocument/2006/relationships/hyperlink" Target="http://www.westlaw.com/Link/Document/FullText?findType=h&amp;pubNum=176284&amp;cite=0152999801&amp;originatingDoc=I1a2ed5c00f6511e79c1dcfeada4fe8e0&amp;refType=RQ&amp;originationContext=document&amp;vr=3.0&amp;rs=cblt1.0&amp;transitionType=DocumentItem&amp;contextData=(sc.UserEnteredCitation)" TargetMode="External"/><Relationship Id="rId523" Type="http://schemas.openxmlformats.org/officeDocument/2006/relationships/hyperlink" Target="http://www.westlaw.com/Link/Document/Blob/I49a88380136311e7b193010000000000.png?originationContext=document&amp;vr=3.0&amp;rs=cblt1.0&amp;transitionType=DocumentImage&amp;contextData=(sc.UserEnteredCitation)" TargetMode="External"/><Relationship Id="rId524" Type="http://schemas.openxmlformats.org/officeDocument/2006/relationships/hyperlink" Target="http://www.westlaw.com/Link/Document/Blob/I49aca230136311e7b193010000000000.png?originationContext=document&amp;vr=3.0&amp;rs=cblt1.0&amp;transitionType=DocumentImage&amp;contextData=(sc.UserEnteredCitation)" TargetMode="External"/><Relationship Id="rId525" Type="http://schemas.openxmlformats.org/officeDocument/2006/relationships/image" Target="media/image11.png"/><Relationship Id="rId526" Type="http://schemas.openxmlformats.org/officeDocument/2006/relationships/hyperlink" Target="http://www.westlaw.com/Link/Document/Blob/I49aca230136311e7b193010000000000.png?originationContext=document&amp;vr=3.0&amp;rs=cblt1.0&amp;transitionType=DocumentImage&amp;contextData=(sc.UserEnteredCitation)" TargetMode="External"/><Relationship Id="rId527" Type="http://schemas.openxmlformats.org/officeDocument/2006/relationships/hyperlink" Target="http://www.westlaw.com/Link/Document/Blob/I49a0bb50136311e7b193010000000000.png?originationContext=document&amp;vr=3.0&amp;rs=cblt1.0&amp;transitionType=DocumentImage&amp;contextData=(sc.UserEnteredCitation)" TargetMode="External"/><Relationship Id="rId528" Type="http://schemas.openxmlformats.org/officeDocument/2006/relationships/image" Target="media/image12.png"/><Relationship Id="rId529" Type="http://schemas.openxmlformats.org/officeDocument/2006/relationships/hyperlink" Target="http://www.westlaw.com/Link/Document/Blob/I49a0bb50136311e7b193010000000000.png?originationContext=document&amp;vr=3.0&amp;rs=cblt1.0&amp;transitionType=DocumentImage&amp;contextData=(sc.UserEnteredCitation)" TargetMode="External"/><Relationship Id="rId180"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181" Type="http://schemas.openxmlformats.org/officeDocument/2006/relationships/hyperlink" Target="http://www.westlaw.com/Link/Document/FullText?findType=Y&amp;serNum=2025387339&amp;pubNum=0004637&amp;originatingDoc=I1a2ed5c00f6511e79c1dcfeada4fe8e0&amp;refType=RP&amp;fi=co_pp_sp_4637_1356&amp;originationContext=document&amp;vr=3.0&amp;rs=cblt1.0&amp;transitionType=DocumentItem&amp;contextData=(sc.UserEnteredCitation)#co_pp_sp_4637_1356" TargetMode="External"/><Relationship Id="rId182" Type="http://schemas.openxmlformats.org/officeDocument/2006/relationships/hyperlink" Target="http://www.westlaw.com/Link/Document/FullText?findType=Y&amp;serNum=2030897073&amp;pubNum=0004637&amp;originatingDoc=I1a2ed5c00f6511e79c1dcfeada4fe8e0&amp;refType=RP&amp;originationContext=document&amp;vr=3.0&amp;rs=cblt1.0&amp;transitionType=DocumentItem&amp;contextData=(sc.UserEnteredCitation)" TargetMode="External"/><Relationship Id="rId183" Type="http://schemas.openxmlformats.org/officeDocument/2006/relationships/hyperlink" Target="http://www.westlaw.com/Link/Document/FullText?findType=Y&amp;serNum=2030897073&amp;pubNum=0004637&amp;originatingDoc=I1a2ed5c00f6511e79c1dcfeada4fe8e0&amp;refType=RP&amp;originationContext=document&amp;vr=3.0&amp;rs=cblt1.0&amp;transitionType=DocumentItem&amp;contextData=(sc.UserEnteredCitation)" TargetMode="External"/><Relationship Id="rId184"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185" Type="http://schemas.openxmlformats.org/officeDocument/2006/relationships/hyperlink" Target="http://www.westlaw.com/Link/Document/FullText?findType=Y&amp;serNum=2030897073&amp;pubNum=0004637&amp;originatingDoc=I1a2ed5c00f6511e79c1dcfeada4fe8e0&amp;refType=RP&amp;originationContext=document&amp;vr=3.0&amp;rs=cblt1.0&amp;transitionType=DocumentItem&amp;contextData=(sc.UserEnteredCitation)" TargetMode="External"/><Relationship Id="rId186" Type="http://schemas.openxmlformats.org/officeDocument/2006/relationships/hyperlink" Target="http://www.westlaw.com/Link/Document/FullText?findType=Y&amp;serNum=2030897073&amp;pubNum=0004637&amp;originatingDoc=I1a2ed5c00f6511e79c1dcfeada4fe8e0&amp;refType=RP&amp;fi=co_pp_sp_4637_700&amp;originationContext=document&amp;vr=3.0&amp;rs=cblt1.0&amp;transitionType=DocumentItem&amp;contextData=(sc.UserEnteredCitation)#co_pp_sp_4637_700" TargetMode="External"/><Relationship Id="rId187" Type="http://schemas.openxmlformats.org/officeDocument/2006/relationships/hyperlink" Target="http://www.westlaw.com/Link/Document/FullText?findType=Y&amp;serNum=2030897073&amp;pubNum=0004637&amp;originatingDoc=I1a2ed5c00f6511e79c1dcfeada4fe8e0&amp;refType=RP&amp;originationContext=document&amp;vr=3.0&amp;rs=cblt1.0&amp;transitionType=DocumentItem&amp;contextData=(sc.UserEnteredCitation)" TargetMode="External"/><Relationship Id="rId188" Type="http://schemas.openxmlformats.org/officeDocument/2006/relationships/hyperlink" Target="http://www.westlaw.com/Link/Document/FullText?findType=Y&amp;serNum=2030897073&amp;pubNum=0004637&amp;originatingDoc=I1a2ed5c00f6511e79c1dcfeada4fe8e0&amp;refType=RP&amp;fi=co_pp_sp_4637_700&amp;originationContext=document&amp;vr=3.0&amp;rs=cblt1.0&amp;transitionType=DocumentItem&amp;contextData=(sc.UserEnteredCitation)#co_pp_sp_4637_700" TargetMode="External"/><Relationship Id="rId189" Type="http://schemas.openxmlformats.org/officeDocument/2006/relationships/hyperlink" Target="http://www.westlaw.com/Link/Document/FullText?findType=Y&amp;serNum=2030897073&amp;pubNum=0004637&amp;originatingDoc=I1a2ed5c00f6511e79c1dcfeada4fe8e0&amp;refType=RP&amp;fi=co_pp_sp_4637_701&amp;originationContext=document&amp;vr=3.0&amp;rs=cblt1.0&amp;transitionType=DocumentItem&amp;contextData=(sc.UserEnteredCitation)#co_pp_sp_4637_701" TargetMode="External"/><Relationship Id="rId240" Type="http://schemas.openxmlformats.org/officeDocument/2006/relationships/hyperlink" Target="http://www.westlaw.com/Link/Document/FullText?findType=Y&amp;serNum=2018265400&amp;pubNum=0000708&amp;originatingDoc=I1a2ed5c00f6511e79c1dcfeada4fe8e0&amp;refType=RP&amp;fi=co_pp_sp_708_571&amp;originationContext=document&amp;vr=3.0&amp;rs=cblt1.0&amp;transitionType=DocumentItem&amp;contextData=(sc.UserEnteredCitation)#co_pp_sp_708_571" TargetMode="External"/><Relationship Id="rId241" Type="http://schemas.openxmlformats.org/officeDocument/2006/relationships/hyperlink" Target="#co_anchor_F42041287330_1" TargetMode="External"/><Relationship Id="rId242"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243"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244" Type="http://schemas.openxmlformats.org/officeDocument/2006/relationships/hyperlink" Target="http://www.westlaw.com/Link/Document/FullText?findType=L&amp;pubNum=1000546&amp;cite=21USCAS352&amp;originatingDoc=I1a2ed5c00f6511e79c1dcfeada4fe8e0&amp;refType=SP&amp;originationContext=document&amp;vr=3.0&amp;rs=cblt1.0&amp;transitionType=DocumentItem&amp;contextData=(sc.UserEnteredCitation)#co_pp_8b3b0000958a4" TargetMode="External"/><Relationship Id="rId245"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246"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247" Type="http://schemas.openxmlformats.org/officeDocument/2006/relationships/hyperlink" Target="http://www.westlaw.com/Link/Document/FullText?findType=Y&amp;serNum=2018265400&amp;pubNum=0000708&amp;originatingDoc=I1a2ed5c00f6511e79c1dcfeada4fe8e0&amp;refType=RP&amp;originationContext=document&amp;vr=3.0&amp;rs=cblt1.0&amp;transitionType=DocumentItem&amp;contextData=(sc.UserEnteredCitation)" TargetMode="External"/><Relationship Id="rId248"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249"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300" Type="http://schemas.openxmlformats.org/officeDocument/2006/relationships/hyperlink" Target="http://www.westlaw.com/Link/Document/FullText?findType=Y&amp;serNum=2024445780&amp;originatingDoc=I1a2ed5c00f6511e79c1dcfeada4fe8e0&amp;refType=RP&amp;originationContext=document&amp;vr=3.0&amp;rs=cblt1.0&amp;transitionType=DocumentItem&amp;contextData=(sc.UserEnteredCitation)" TargetMode="External"/><Relationship Id="rId301"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302"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303"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304"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305"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306" Type="http://schemas.openxmlformats.org/officeDocument/2006/relationships/hyperlink" Target="http://www.westlaw.com/Link/Document/FullText?findType=Y&amp;serNum=2018265400&amp;pubNum=0000708&amp;originatingDoc=I1a2ed5c00f6511e79c1dcfeada4fe8e0&amp;refType=RP&amp;originationContext=document&amp;vr=3.0&amp;rs=cblt1.0&amp;transitionType=DocumentItem&amp;contextData=(sc.UserEnteredCitation)" TargetMode="External"/><Relationship Id="rId307" Type="http://schemas.openxmlformats.org/officeDocument/2006/relationships/hyperlink" Target="http://www.westlaw.com/Link/Document/FullText?findType=Y&amp;serNum=2018265400&amp;pubNum=0000708&amp;originatingDoc=I1a2ed5c00f6511e79c1dcfeada4fe8e0&amp;refType=RP&amp;originationContext=document&amp;vr=3.0&amp;rs=cblt1.0&amp;transitionType=DocumentItem&amp;contextData=(sc.UserEnteredCitation)" TargetMode="External"/><Relationship Id="rId308" Type="http://schemas.openxmlformats.org/officeDocument/2006/relationships/hyperlink" Target="http://www.westlaw.com/Link/Document/FullText?findType=Y&amp;serNum=2021400295&amp;pubNum=0000506&amp;originatingDoc=I1a2ed5c00f6511e79c1dcfeada4fe8e0&amp;refType=RP&amp;fi=co_pp_sp_506_393&amp;originationContext=document&amp;vr=3.0&amp;rs=cblt1.0&amp;transitionType=DocumentItem&amp;contextData=(sc.UserEnteredCitation)#co_pp_sp_506_393" TargetMode="External"/><Relationship Id="rId309" Type="http://schemas.openxmlformats.org/officeDocument/2006/relationships/hyperlink" Target="http://www.westlaw.com/Link/Document/FullText?findType=Y&amp;serNum=2024445780&amp;pubNum=0000506&amp;originatingDoc=I1a2ed5c00f6511e79c1dcfeada4fe8e0&amp;refType=RP&amp;fi=co_pp_sp_506_1235&amp;originationContext=document&amp;vr=3.0&amp;rs=cblt1.0&amp;transitionType=DocumentItem&amp;contextData=(sc.UserEnteredCitation)#co_pp_sp_506_1235" TargetMode="External"/><Relationship Id="rId470"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471"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472" Type="http://schemas.openxmlformats.org/officeDocument/2006/relationships/hyperlink" Target="http://www.westlaw.com/Link/Document/FullText?entityType=injury&amp;entityId=Ib29e10dc475411db9765f9243f53508a&amp;originationContext=document&amp;transitionType=DocumentItem&amp;contextData=(sc.Default)&amp;vr=3.0&amp;rs=cblt1.0" TargetMode="External"/><Relationship Id="rId473"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474"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475" Type="http://schemas.openxmlformats.org/officeDocument/2006/relationships/hyperlink" Target="http://www.westlaw.com/Link/Document/FullText?findType=Y&amp;serNum=1996098750&amp;pubNum=0000708&amp;originatingDoc=I1a2ed5c00f6511e79c1dcfeada4fe8e0&amp;refType=RP&amp;originationContext=document&amp;vr=3.0&amp;rs=cblt1.0&amp;transitionType=DocumentItem&amp;contextData=(sc.UserEnteredCitation)" TargetMode="External"/><Relationship Id="rId476"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477"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478"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479"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530" Type="http://schemas.openxmlformats.org/officeDocument/2006/relationships/hyperlink" Target="http://www.westlaw.com/Link/Document/Blob/I49b63f20136311e7b193010000000000.png?originationContext=document&amp;vr=3.0&amp;rs=cblt1.0&amp;transitionType=DocumentImage&amp;contextData=(sc.UserEnteredCitation)" TargetMode="External"/><Relationship Id="rId531" Type="http://schemas.openxmlformats.org/officeDocument/2006/relationships/image" Target="media/image13.png"/><Relationship Id="rId532" Type="http://schemas.openxmlformats.org/officeDocument/2006/relationships/hyperlink" Target="http://www.westlaw.com/Link/Document/Blob/I49b63f20136311e7b193010000000000.png?originationContext=document&amp;vr=3.0&amp;rs=cblt1.0&amp;transitionType=DocumentImage&amp;contextData=(sc.UserEnteredCitation)" TargetMode="External"/><Relationship Id="rId40" Type="http://schemas.openxmlformats.org/officeDocument/2006/relationships/hyperlink" Target="http://www.westlaw.com/Link/Document/FullText?entityType=disease&amp;entityId=Ic46e7640475411db9765f9243f53508a&amp;originationContext=document&amp;transitionType=DocumentItem&amp;contextData=(sc.Default)&amp;vr=3.0&amp;rs=cblt1.0" TargetMode="External"/><Relationship Id="rId41"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42" Type="http://schemas.openxmlformats.org/officeDocument/2006/relationships/hyperlink" Target="http://www.westlaw.com/Link/Document/FullText?entityType=injury&amp;entityId=Ib29e10dc475411db9765f9243f53508a&amp;originationContext=document&amp;transitionType=DocumentItem&amp;contextData=(sc.Default)&amp;vr=3.0&amp;rs=cblt1.0" TargetMode="External"/><Relationship Id="rId43"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44" Type="http://schemas.openxmlformats.org/officeDocument/2006/relationships/hyperlink" Target="http://www.westlaw.com/Link/Document/FullText?findType=Y&amp;serNum=2018265400&amp;pubNum=0000708&amp;originatingDoc=I1a2ed5c00f6511e79c1dcfeada4fe8e0&amp;refType=RP&amp;originationContext=document&amp;vr=3.0&amp;rs=cblt1.0&amp;transitionType=DocumentItem&amp;contextData=(sc.UserEnteredCitation)" TargetMode="External"/><Relationship Id="rId45" Type="http://schemas.openxmlformats.org/officeDocument/2006/relationships/hyperlink" Target="http://www.westlaw.com/Link/Document/FullText?findType=Y&amp;serNum=2018265400&amp;pubNum=0000708&amp;originatingDoc=I1a2ed5c00f6511e79c1dcfeada4fe8e0&amp;refType=RP&amp;originationContext=document&amp;vr=3.0&amp;rs=cblt1.0&amp;transitionType=DocumentItem&amp;contextData=(sc.UserEnteredCitation)" TargetMode="External"/><Relationship Id="rId46"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47"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48"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49" Type="http://schemas.openxmlformats.org/officeDocument/2006/relationships/hyperlink" Target="http://www.westlaw.com/Link/Document/FullText?entityType=injury&amp;entityId=Ib29e10dc475411db9765f9243f53508a&amp;originationContext=document&amp;transitionType=DocumentItem&amp;contextData=(sc.Default)&amp;vr=3.0&amp;rs=cblt1.0" TargetMode="External"/><Relationship Id="rId533" Type="http://schemas.openxmlformats.org/officeDocument/2006/relationships/fontTable" Target="fontTable.xml"/><Relationship Id="rId53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90" Type="http://schemas.openxmlformats.org/officeDocument/2006/relationships/hyperlink" Target="http://www.westlaw.com/Link/Document/FullText?findType=Y&amp;serNum=2030897073&amp;pubNum=0004637&amp;originatingDoc=I1a2ed5c00f6511e79c1dcfeada4fe8e0&amp;refType=RP&amp;originationContext=document&amp;vr=3.0&amp;rs=cblt1.0&amp;transitionType=DocumentItem&amp;contextData=(sc.UserEnteredCitation)" TargetMode="External"/><Relationship Id="rId191"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192" Type="http://schemas.openxmlformats.org/officeDocument/2006/relationships/hyperlink" Target="http://www.westlaw.com/Link/Document/FullText?findType=Y&amp;serNum=2030897073&amp;pubNum=0004637&amp;originatingDoc=I1a2ed5c00f6511e79c1dcfeada4fe8e0&amp;refType=RP&amp;fi=co_pp_sp_4637_702&amp;originationContext=document&amp;vr=3.0&amp;rs=cblt1.0&amp;transitionType=DocumentItem&amp;contextData=(sc.UserEnteredCitation)#co_pp_sp_4637_702" TargetMode="External"/><Relationship Id="rId193" Type="http://schemas.openxmlformats.org/officeDocument/2006/relationships/hyperlink" Target="http://www.westlaw.com/Link/Document/FullText?findType=Y&amp;serNum=2018265400&amp;pubNum=0000708&amp;originatingDoc=I1a2ed5c00f6511e79c1dcfeada4fe8e0&amp;refType=RP&amp;originationContext=document&amp;vr=3.0&amp;rs=cblt1.0&amp;transitionType=DocumentItem&amp;contextData=(sc.UserEnteredCitation)" TargetMode="External"/><Relationship Id="rId194" Type="http://schemas.openxmlformats.org/officeDocument/2006/relationships/hyperlink" Target="http://www.westlaw.com/Link/Document/FullText?findType=Y&amp;serNum=2030897073&amp;pubNum=0004637&amp;originatingDoc=I1a2ed5c00f6511e79c1dcfeada4fe8e0&amp;refType=RP&amp;fi=co_pp_sp_4637_703&amp;originationContext=document&amp;vr=3.0&amp;rs=cblt1.0&amp;transitionType=DocumentItem&amp;contextData=(sc.UserEnteredCitation)#co_pp_sp_4637_703" TargetMode="External"/><Relationship Id="rId195" Type="http://schemas.openxmlformats.org/officeDocument/2006/relationships/hyperlink" Target="http://www.westlaw.com/Link/Document/FullText?findType=Y&amp;serNum=2030897073&amp;pubNum=0004637&amp;originatingDoc=I1a2ed5c00f6511e79c1dcfeada4fe8e0&amp;refType=RP&amp;originationContext=document&amp;vr=3.0&amp;rs=cblt1.0&amp;transitionType=DocumentItem&amp;contextData=(sc.UserEnteredCitation)" TargetMode="External"/><Relationship Id="rId196" Type="http://schemas.openxmlformats.org/officeDocument/2006/relationships/hyperlink" Target="http://www.westlaw.com/Link/Document/FullText?findType=L&amp;pubNum=1000600&amp;cite=USFRCPR56&amp;originatingDoc=I1a2ed5c00f6511e79c1dcfeada4fe8e0&amp;refType=LQ&amp;originationContext=document&amp;vr=3.0&amp;rs=cblt1.0&amp;transitionType=DocumentItem&amp;contextData=(sc.UserEnteredCitation)" TargetMode="External"/><Relationship Id="rId197" Type="http://schemas.openxmlformats.org/officeDocument/2006/relationships/hyperlink" Target="http://www.westlaw.com/Link/Document/FullText?findType=Y&amp;serNum=2032988145&amp;pubNum=0000999&amp;originatingDoc=I1a2ed5c00f6511e79c1dcfeada4fe8e0&amp;refType=RP&amp;originationContext=document&amp;vr=3.0&amp;rs=cblt1.0&amp;transitionType=DocumentItem&amp;contextData=(sc.UserEnteredCitation)" TargetMode="External"/><Relationship Id="rId198" Type="http://schemas.openxmlformats.org/officeDocument/2006/relationships/hyperlink" Target="http://www.westlaw.com/Link/Document/FullText?findType=Y&amp;serNum=2032988145&amp;originatingDoc=I1a2ed5c00f6511e79c1dcfeada4fe8e0&amp;refType=RP&amp;originationContext=document&amp;vr=3.0&amp;rs=cblt1.0&amp;transitionType=DocumentItem&amp;contextData=(sc.UserEnteredCitation)" TargetMode="External"/><Relationship Id="rId199" Type="http://schemas.openxmlformats.org/officeDocument/2006/relationships/hyperlink" Target="http://www.westlaw.com/Link/Document/FullText?findType=L&amp;pubNum=1000600&amp;cite=USFRCPR56&amp;originatingDoc=I1a2ed5c00f6511e79c1dcfeada4fe8e0&amp;refType=LQ&amp;originationContext=document&amp;vr=3.0&amp;rs=cblt1.0&amp;transitionType=DocumentItem&amp;contextData=(sc.UserEnteredCitation)" TargetMode="External"/><Relationship Id="rId250"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251"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252"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253" Type="http://schemas.openxmlformats.org/officeDocument/2006/relationships/hyperlink" Target="http://www.westlaw.com/Link/Document/FullText?findType=Y&amp;serNum=2018265400&amp;pubNum=0000708&amp;originatingDoc=I1a2ed5c00f6511e79c1dcfeada4fe8e0&amp;refType=RP&amp;fi=co_pp_sp_708_573&amp;originationContext=document&amp;vr=3.0&amp;rs=cblt1.0&amp;transitionType=DocumentItem&amp;contextData=(sc.UserEnteredCitation)#co_pp_sp_708_573" TargetMode="External"/><Relationship Id="rId254" Type="http://schemas.openxmlformats.org/officeDocument/2006/relationships/hyperlink" Target="http://www.westlaw.com/Link/Document/FullText?findType=Y&amp;serNum=2021400295&amp;pubNum=0000506&amp;originatingDoc=I1a2ed5c00f6511e79c1dcfeada4fe8e0&amp;refType=RP&amp;fi=co_pp_sp_506_392&amp;originationContext=document&amp;vr=3.0&amp;rs=cblt1.0&amp;transitionType=DocumentItem&amp;contextData=(sc.UserEnteredCitation)#co_pp_sp_506_392" TargetMode="External"/><Relationship Id="rId255"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256"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257" Type="http://schemas.openxmlformats.org/officeDocument/2006/relationships/hyperlink" Target="http://www.westlaw.com/Link/Document/FullText?findType=Y&amp;serNum=2024445780&amp;pubNum=0000506&amp;originatingDoc=I1a2ed5c00f6511e79c1dcfeada4fe8e0&amp;refType=RP&amp;fi=co_pp_sp_506_1235&amp;originationContext=document&amp;vr=3.0&amp;rs=cblt1.0&amp;transitionType=DocumentItem&amp;contextData=(sc.UserEnteredCitation)#co_pp_sp_506_1235" TargetMode="External"/><Relationship Id="rId258"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259"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310" Type="http://schemas.openxmlformats.org/officeDocument/2006/relationships/hyperlink" Target="http://www.westlaw.com/Link/Document/FullText?findType=Y&amp;serNum=2021065954&amp;pubNum=0000506&amp;originatingDoc=I1a2ed5c00f6511e79c1dcfeada4fe8e0&amp;refType=RP&amp;fi=co_pp_sp_506_446&amp;originationContext=document&amp;vr=3.0&amp;rs=cblt1.0&amp;transitionType=DocumentItem&amp;contextData=(sc.UserEnteredCitation)#co_pp_sp_506_446" TargetMode="External"/><Relationship Id="rId311" Type="http://schemas.openxmlformats.org/officeDocument/2006/relationships/hyperlink" Target="http://www.westlaw.com/Link/Document/FullText?findType=Y&amp;serNum=2020553005&amp;pubNum=0000506&amp;originatingDoc=I1a2ed5c00f6511e79c1dcfeada4fe8e0&amp;refType=RP&amp;fi=co_pp_sp_506_610&amp;originationContext=document&amp;vr=3.0&amp;rs=cblt1.0&amp;transitionType=DocumentItem&amp;contextData=(sc.UserEnteredCitation)#co_pp_sp_506_610" TargetMode="External"/><Relationship Id="rId312" Type="http://schemas.openxmlformats.org/officeDocument/2006/relationships/hyperlink" Target="http://www.westlaw.com/Link/Document/FullText?findType=Y&amp;serNum=2022207210&amp;pubNum=0006538&amp;originatingDoc=I1a2ed5c00f6511e79c1dcfeada4fe8e0&amp;refType=RP&amp;originationContext=document&amp;vr=3.0&amp;rs=cblt1.0&amp;transitionType=DocumentItem&amp;contextData=(sc.UserEnteredCitation)" TargetMode="External"/><Relationship Id="rId313" Type="http://schemas.openxmlformats.org/officeDocument/2006/relationships/hyperlink" Target="http://www.westlaw.com/Link/Document/FullText?findType=Y&amp;serNum=2018265400&amp;originatingDoc=I1a2ed5c00f6511e79c1dcfeada4fe8e0&amp;refType=RP&amp;originationContext=document&amp;vr=3.0&amp;rs=cblt1.0&amp;transitionType=DocumentItem&amp;contextData=(sc.UserEnteredCitation)" TargetMode="External"/><Relationship Id="rId314" Type="http://schemas.openxmlformats.org/officeDocument/2006/relationships/hyperlink" Target="http://www.westlaw.com/Link/Document/FullText?findType=Y&amp;serNum=2021400295&amp;pubNum=0000506&amp;originatingDoc=I1a2ed5c00f6511e79c1dcfeada4fe8e0&amp;refType=RP&amp;originationContext=document&amp;vr=3.0&amp;rs=cblt1.0&amp;transitionType=DocumentItem&amp;contextData=(sc.UserEnteredCitation)" TargetMode="External"/><Relationship Id="rId315" Type="http://schemas.openxmlformats.org/officeDocument/2006/relationships/hyperlink" Target="http://www.westlaw.com/Link/Document/FullText?findType=L&amp;pubNum=1000600&amp;cite=USFRCPR56&amp;originatingDoc=I1a2ed5c00f6511e79c1dcfeada4fe8e0&amp;refType=LQ&amp;originationContext=document&amp;vr=3.0&amp;rs=cblt1.0&amp;transitionType=DocumentItem&amp;contextData=(sc.UserEnteredCitation)" TargetMode="External"/><Relationship Id="rId316" Type="http://schemas.openxmlformats.org/officeDocument/2006/relationships/hyperlink" Target="http://www.westlaw.com/Link/Document/FullText?findType=Y&amp;serNum=2018265400&amp;pubNum=0000506&amp;originatingDoc=I1a2ed5c00f6511e79c1dcfeada4fe8e0&amp;refType=RP&amp;originationContext=document&amp;vr=3.0&amp;rs=cblt1.0&amp;transitionType=DocumentItem&amp;contextData=(sc.UserEnteredCitation)" TargetMode="External"/><Relationship Id="rId317" Type="http://schemas.openxmlformats.org/officeDocument/2006/relationships/hyperlink" Target="http://www.westlaw.com/Link/Document/FullText?findType=Y&amp;serNum=2018265400&amp;pubNum=0000506&amp;originatingDoc=I1a2ed5c00f6511e79c1dcfeada4fe8e0&amp;refType=RP&amp;originationContext=document&amp;vr=3.0&amp;rs=cblt1.0&amp;transitionType=DocumentItem&amp;contextData=(sc.UserEnteredCitation)" TargetMode="External"/><Relationship Id="rId318" Type="http://schemas.openxmlformats.org/officeDocument/2006/relationships/hyperlink" Target="http://www.westlaw.com/Link/Document/FullText?findType=Y&amp;serNum=2018265400&amp;pubNum=0000506&amp;originatingDoc=I1a2ed5c00f6511e79c1dcfeada4fe8e0&amp;refType=RP&amp;originationContext=document&amp;vr=3.0&amp;rs=cblt1.0&amp;transitionType=DocumentItem&amp;contextData=(sc.UserEnteredCitation)" TargetMode="External"/><Relationship Id="rId319" Type="http://schemas.openxmlformats.org/officeDocument/2006/relationships/hyperlink" Target="http://www.westlaw.com/Link/Document/FullText?findType=Y&amp;serNum=2027606685&amp;pubNum=0000506&amp;originatingDoc=I1a2ed5c00f6511e79c1dcfeada4fe8e0&amp;refType=RP&amp;fi=co_pp_sp_506_364&amp;originationContext=document&amp;vr=3.0&amp;rs=cblt1.0&amp;transitionType=DocumentItem&amp;contextData=(sc.UserEnteredCitation)#co_pp_sp_506_364" TargetMode="External"/><Relationship Id="rId480" Type="http://schemas.openxmlformats.org/officeDocument/2006/relationships/hyperlink" Target="http://www.westlaw.com/Link/Document/FullText?findType=Y&amp;serNum=2022722508&amp;pubNum=0000506&amp;originatingDoc=I1a2ed5c00f6511e79c1dcfeada4fe8e0&amp;refType=RP&amp;fi=co_pp_sp_506_132&amp;originationContext=document&amp;vr=3.0&amp;rs=cblt1.0&amp;transitionType=DocumentItem&amp;contextData=(sc.UserEnteredCitation)#co_pp_sp_506_132" TargetMode="External"/><Relationship Id="rId481" Type="http://schemas.openxmlformats.org/officeDocument/2006/relationships/hyperlink" Target="http://www.westlaw.com/Link/Document/FullText?findType=Y&amp;serNum=1999064356&amp;pubNum=0000506&amp;originatingDoc=I1a2ed5c00f6511e79c1dcfeada4fe8e0&amp;refType=RP&amp;fi=co_pp_sp_506_1041&amp;originationContext=document&amp;vr=3.0&amp;rs=cblt1.0&amp;transitionType=DocumentItem&amp;contextData=(sc.UserEnteredCitation)#co_pp_sp_506_1041" TargetMode="External"/><Relationship Id="rId482" Type="http://schemas.openxmlformats.org/officeDocument/2006/relationships/hyperlink" Target="#co_anchor_F162041287330_1" TargetMode="External"/><Relationship Id="rId483"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484" Type="http://schemas.openxmlformats.org/officeDocument/2006/relationships/hyperlink" Target="http://www.westlaw.com/Link/Document/FullText?entityType=injury&amp;entityId=Ic2803a65475411db9765f9243f53508a&amp;originationContext=document&amp;transitionType=DocumentItem&amp;contextData=(sc.Default)&amp;vr=3.0&amp;rs=cblt1.0" TargetMode="External"/><Relationship Id="rId485"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486"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487" Type="http://schemas.openxmlformats.org/officeDocument/2006/relationships/hyperlink" Target="http://www.westlaw.com/Link/Document/FullText?entityType=injury&amp;entityId=Ib29e10dc475411db9765f9243f53508a&amp;originationContext=document&amp;transitionType=DocumentItem&amp;contextData=(sc.Default)&amp;vr=3.0&amp;rs=cblt1.0" TargetMode="External"/><Relationship Id="rId488"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489"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50"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51"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52" Type="http://schemas.openxmlformats.org/officeDocument/2006/relationships/hyperlink" Target="http://www.westlaw.com/Link/Document/FullText?entityType=disease&amp;entityId=Ic46e7640475411db9765f9243f53508a&amp;originationContext=document&amp;transitionType=DocumentItem&amp;contextData=(sc.Default)&amp;vr=3.0&amp;rs=cblt1.0" TargetMode="External"/><Relationship Id="rId53"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54" Type="http://schemas.openxmlformats.org/officeDocument/2006/relationships/hyperlink" Target="http://www.westlaw.com/Link/Document/FullText?entityType=disease&amp;entityId=Ic46e7640475411db9765f9243f53508a&amp;originationContext=document&amp;transitionType=DocumentItem&amp;contextData=(sc.Default)&amp;vr=3.0&amp;rs=cblt1.0" TargetMode="External"/><Relationship Id="rId55" Type="http://schemas.openxmlformats.org/officeDocument/2006/relationships/hyperlink" Target="http://www.westlaw.com/Link/Document/FullText?entityType=disease&amp;entityId=Ic46e7640475411db9765f9243f53508a&amp;originationContext=document&amp;transitionType=DocumentItem&amp;contextData=(sc.Default)&amp;vr=3.0&amp;rs=cblt1.0" TargetMode="External"/><Relationship Id="rId56"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57" Type="http://schemas.openxmlformats.org/officeDocument/2006/relationships/hyperlink" Target="http://www.westlaw.com/Link/Document/FullText?entityType=disease&amp;entityId=Ibb97470c475411db9765f9243f53508a&amp;originationContext=document&amp;transitionType=DocumentItem&amp;contextData=(sc.Default)&amp;vr=3.0&amp;rs=cblt1.0" TargetMode="External"/><Relationship Id="rId58" Type="http://schemas.openxmlformats.org/officeDocument/2006/relationships/hyperlink" Target="http://www.westlaw.com/Link/Document/FullText?entityType=disease&amp;entityId=Ic46e7640475411db9765f9243f53508a&amp;originationContext=document&amp;transitionType=DocumentItem&amp;contextData=(sc.Default)&amp;vr=3.0&amp;rs=cblt1.0" TargetMode="External"/><Relationship Id="rId59"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260" Type="http://schemas.openxmlformats.org/officeDocument/2006/relationships/hyperlink" Target="http://www.westlaw.com/Link/Document/FullText?findType=Y&amp;serNum=2025536613&amp;pubNum=0000708&amp;originatingDoc=I1a2ed5c00f6511e79c1dcfeada4fe8e0&amp;refType=RP&amp;originationContext=document&amp;vr=3.0&amp;rs=cblt1.0&amp;transitionType=DocumentItem&amp;contextData=(sc.UserEnteredCitation)" TargetMode="External"/><Relationship Id="rId261" Type="http://schemas.openxmlformats.org/officeDocument/2006/relationships/hyperlink" Target="http://www.westlaw.com/Link/Document/FullText?findType=Y&amp;serNum=2037563808&amp;pubNum=0007903&amp;originatingDoc=I1a2ed5c00f6511e79c1dcfeada4fe8e0&amp;refType=RP&amp;originationContext=document&amp;vr=3.0&amp;rs=cblt1.0&amp;transitionType=DocumentItem&amp;contextData=(sc.UserEnteredCitation)" TargetMode="External"/><Relationship Id="rId262" Type="http://schemas.openxmlformats.org/officeDocument/2006/relationships/hyperlink" Target="http://www.westlaw.com/Link/Document/FullText?findType=Y&amp;serNum=2039199354&amp;pubNum=0007903&amp;originatingDoc=I1a2ed5c00f6511e79c1dcfeada4fe8e0&amp;refType=RP&amp;originationContext=document&amp;vr=3.0&amp;rs=cblt1.0&amp;transitionType=DocumentItem&amp;contextData=(sc.UserEnteredCitation)" TargetMode="External"/><Relationship Id="rId263" Type="http://schemas.openxmlformats.org/officeDocument/2006/relationships/hyperlink" Target="http://www.westlaw.com/Link/Document/FullText?findType=Y&amp;serNum=2037563808&amp;pubNum=0007903&amp;originatingDoc=I1a2ed5c00f6511e79c1dcfeada4fe8e0&amp;refType=RP&amp;fi=co_pp_sp_7903_1119&amp;originationContext=document&amp;vr=3.0&amp;rs=cblt1.0&amp;transitionType=DocumentItem&amp;contextData=(sc.UserEnteredCitation)#co_pp_sp_7903_1119" TargetMode="External"/><Relationship Id="rId264"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265" Type="http://schemas.openxmlformats.org/officeDocument/2006/relationships/hyperlink" Target="#co_anchor_F52041287330_1" TargetMode="External"/><Relationship Id="rId266" Type="http://schemas.openxmlformats.org/officeDocument/2006/relationships/hyperlink" Target="#co_anchor_F62041287330_1" TargetMode="External"/><Relationship Id="rId267"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268" Type="http://schemas.openxmlformats.org/officeDocument/2006/relationships/hyperlink" Target="http://www.westlaw.com/Link/Document/FullText?entityType=bdrug&amp;entityId=I37b9865b475111db9765f9243f53508a&amp;originationContext=document&amp;transitionType=DocumentItem&amp;contextData=(sc.Default)&amp;vr=3.0&amp;rs=cblt1.0" TargetMode="External"/><Relationship Id="rId269" Type="http://schemas.openxmlformats.org/officeDocument/2006/relationships/hyperlink" Target="http://www.westlaw.com/Link/Document/FullText?findType=Y&amp;serNum=2018265400&amp;pubNum=0000708&amp;originatingDoc=I1a2ed5c00f6511e79c1dcfeada4fe8e0&amp;refType=RP&amp;originationContext=document&amp;vr=3.0&amp;rs=cblt1.0&amp;transitionType=DocumentItem&amp;contextData=(sc.UserEnteredCitation)" TargetMode="External"/><Relationship Id="rId320" Type="http://schemas.openxmlformats.org/officeDocument/2006/relationships/hyperlink" Target="http://www.westlaw.com/Link/Document/FullText?findType=Y&amp;serNum=2004728752&amp;pubNum=0000506&amp;originatingDoc=I1a2ed5c00f6511e79c1dcfeada4fe8e0&amp;refType=RP&amp;fi=co_pp_sp_506_166&amp;originationContext=document&amp;vr=3.0&amp;rs=cblt1.0&amp;transitionType=DocumentItem&amp;contextData=(sc.UserEnteredCitation)#co_pp_sp_506_166" TargetMode="External"/><Relationship Id="rId321" Type="http://schemas.openxmlformats.org/officeDocument/2006/relationships/hyperlink" Target="http://www.westlaw.com/Link/Document/FullText?findType=Y&amp;serNum=2025668730&amp;pubNum=0004637&amp;originatingDoc=I1a2ed5c00f6511e79c1dcfeada4fe8e0&amp;refType=RP&amp;fi=co_pp_sp_4637_1267&amp;originationContext=document&amp;vr=3.0&amp;rs=cblt1.0&amp;transitionType=DocumentItem&amp;contextData=(sc.UserEnteredCitation)#co_pp_sp_4637_1267" TargetMode="External"/><Relationship Id="rId322" Type="http://schemas.openxmlformats.org/officeDocument/2006/relationships/hyperlink" Target="http://www.westlaw.com/Link/Document/FullText?findType=Y&amp;serNum=2037563808&amp;pubNum=0007903&amp;originatingDoc=I1a2ed5c00f6511e79c1dcfeada4fe8e0&amp;refType=RP&amp;fi=co_pp_sp_7903_1114&amp;originationContext=document&amp;vr=3.0&amp;rs=cblt1.0&amp;transitionType=DocumentItem&amp;contextData=(sc.UserEnteredCitation)#co_pp_sp_7903_1114" TargetMode="External"/><Relationship Id="rId323" Type="http://schemas.openxmlformats.org/officeDocument/2006/relationships/hyperlink" Target="http://www.westlaw.com/Link/Document/FullText?findType=Y&amp;serNum=1988082578&amp;pubNum=0000780&amp;originatingDoc=I1a2ed5c00f6511e79c1dcfeada4fe8e0&amp;refType=RP&amp;originationContext=document&amp;vr=3.0&amp;rs=cblt1.0&amp;transitionType=DocumentItem&amp;contextData=(sc.UserEnteredCitation)" TargetMode="External"/><Relationship Id="rId324" Type="http://schemas.openxmlformats.org/officeDocument/2006/relationships/hyperlink" Target="http://www.westlaw.com/Link/Document/FullText?findType=Y&amp;serNum=1988082578&amp;pubNum=0000780&amp;originatingDoc=I1a2ed5c00f6511e79c1dcfeada4fe8e0&amp;refType=RP&amp;originationContext=document&amp;vr=3.0&amp;rs=cblt1.0&amp;transitionType=DocumentItem&amp;contextData=(sc.UserEnteredCitation)" TargetMode="External"/><Relationship Id="rId325" Type="http://schemas.openxmlformats.org/officeDocument/2006/relationships/hyperlink" Target="http://www.westlaw.com/Link/Document/FullText?findType=Y&amp;serNum=2018265400&amp;pubNum=0004637&amp;originatingDoc=I1a2ed5c00f6511e79c1dcfeada4fe8e0&amp;refType=RP&amp;originationContext=document&amp;vr=3.0&amp;rs=cblt1.0&amp;transitionType=DocumentItem&amp;contextData=(sc.UserEnteredCitation)" TargetMode="External"/><Relationship Id="rId326" Type="http://schemas.openxmlformats.org/officeDocument/2006/relationships/hyperlink" Target="http://www.westlaw.com/Link/Document/FullText?findType=Y&amp;serNum=1988082578&amp;pubNum=0000708&amp;originatingDoc=I1a2ed5c00f6511e79c1dcfeada4fe8e0&amp;refType=RP&amp;originationContext=document&amp;vr=3.0&amp;rs=cblt1.0&amp;transitionType=DocumentItem&amp;contextData=(sc.UserEnteredCitation)" TargetMode="External"/><Relationship Id="rId327" Type="http://schemas.openxmlformats.org/officeDocument/2006/relationships/hyperlink" Target="http://www.westlaw.com/Link/Document/FullText?findType=Y&amp;serNum=1988082578&amp;pubNum=0000708&amp;originatingDoc=I1a2ed5c00f6511e79c1dcfeada4fe8e0&amp;refType=RP&amp;fi=co_pp_sp_708_512&amp;originationContext=document&amp;vr=3.0&amp;rs=cblt1.0&amp;transitionType=DocumentItem&amp;contextData=(sc.UserEnteredCitation)#co_pp_sp_708_512" TargetMode="External"/><Relationship Id="rId328" Type="http://schemas.openxmlformats.org/officeDocument/2006/relationships/hyperlink" Target="http://www.westlaw.com/Link/Document/FullText?findType=Y&amp;serNum=1988082578&amp;pubNum=0000708&amp;originatingDoc=I1a2ed5c00f6511e79c1dcfeada4fe8e0&amp;refType=RP&amp;fi=co_pp_sp_708_514&amp;originationContext=document&amp;vr=3.0&amp;rs=cblt1.0&amp;transitionType=DocumentItem&amp;contextData=(sc.UserEnteredCitation)#co_pp_sp_708_514" TargetMode="External"/><Relationship Id="rId329" Type="http://schemas.openxmlformats.org/officeDocument/2006/relationships/hyperlink" Target="http://www.westlaw.com/Link/Document/FullText?findType=Y&amp;serNum=1988082578&amp;pubNum=0000780&amp;originatingDoc=I1a2ed5c00f6511e79c1dcfeada4fe8e0&amp;refType=RP&amp;originationContext=document&amp;vr=3.0&amp;rs=cblt1.0&amp;transitionType=DocumentItem&amp;contextData=(sc.UserEnteredCitation)" TargetMode="External"/><Relationship Id="rId490" Type="http://schemas.openxmlformats.org/officeDocument/2006/relationships/hyperlink" Target="http://www.westlaw.com/Link/Document/FullText?findType=Y&amp;serNum=2032988145&amp;pubNum=0000999&amp;originatingDoc=I1a2ed5c00f6511e79c1dcfeada4fe8e0&amp;refType=RP&amp;originationContext=document&amp;vr=3.0&amp;rs=cblt1.0&amp;transitionType=DocumentItem&amp;contextData=(sc.UserEnteredCitation)" TargetMode="External"/><Relationship Id="rId491" Type="http://schemas.openxmlformats.org/officeDocument/2006/relationships/hyperlink" Target="#co_anchor_F172041287330_1" TargetMode="External"/><Relationship Id="rId492"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493"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494" Type="http://schemas.openxmlformats.org/officeDocument/2006/relationships/hyperlink" Target="http://www.westlaw.com/Link/Document/FullText?findType=L&amp;pubNum=1000546&amp;cite=28USCAS1407&amp;originatingDoc=I1a2ed5c00f6511e79c1dcfeada4fe8e0&amp;refType=SP&amp;originationContext=document&amp;vr=3.0&amp;rs=cblt1.0&amp;transitionType=DocumentItem&amp;contextData=(sc.UserEnteredCitation)#co_pp_8b3b0000958a4" TargetMode="External"/><Relationship Id="rId495" Type="http://schemas.openxmlformats.org/officeDocument/2006/relationships/hyperlink" Target="http://www.westlaw.com/Link/Document/FullText?findType=Y&amp;serNum=2031639352&amp;pubNum=0000506&amp;originatingDoc=I1a2ed5c00f6511e79c1dcfeada4fe8e0&amp;refType=RP&amp;fi=co_pp_sp_506_590&amp;originationContext=document&amp;vr=3.0&amp;rs=cblt1.0&amp;transitionType=DocumentItem&amp;contextData=(sc.UserEnteredCitation)#co_pp_sp_506_590" TargetMode="External"/><Relationship Id="rId496" Type="http://schemas.openxmlformats.org/officeDocument/2006/relationships/hyperlink" Target="#co_anchor_F182041287330_1" TargetMode="External"/><Relationship Id="rId497" Type="http://schemas.openxmlformats.org/officeDocument/2006/relationships/hyperlink" Target="http://www.westlaw.com/Link/Document/FullText?findType=Y&amp;serNum=2030847318&amp;pubNum=0000708&amp;originatingDoc=I1a2ed5c00f6511e79c1dcfeada4fe8e0&amp;refType=RP&amp;originationContext=document&amp;vr=3.0&amp;rs=cblt1.0&amp;transitionType=DocumentItem&amp;contextData=(sc.UserEnteredCitation)" TargetMode="External"/><Relationship Id="rId498"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499" Type="http://schemas.openxmlformats.org/officeDocument/2006/relationships/hyperlink" Target="http://www.westlaw.com/Link/Document/FullText?findType=Y&amp;serNum=2014231164&amp;pubNum=0000506&amp;originatingDoc=I1a2ed5c00f6511e79c1dcfeada4fe8e0&amp;refType=RP&amp;fi=co_pp_sp_506_125&amp;originationContext=document&amp;vr=3.0&amp;rs=cblt1.0&amp;transitionType=DocumentItem&amp;contextData=(sc.UserEnteredCitation)#co_pp_sp_506_125" TargetMode="External"/><Relationship Id="rId100"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101"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102" Type="http://schemas.openxmlformats.org/officeDocument/2006/relationships/hyperlink" Target="http://www.westlaw.com/Link/Document/FullText?entityType=injury&amp;entityId=Ib29e10dc475411db9765f9243f53508a&amp;originationContext=document&amp;transitionType=DocumentItem&amp;contextData=(sc.Default)&amp;vr=3.0&amp;rs=cblt1.0" TargetMode="External"/><Relationship Id="rId103"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104" Type="http://schemas.openxmlformats.org/officeDocument/2006/relationships/hyperlink" Target="http://www.westlaw.com/Link/Document/FullText?entityType=injury&amp;entityId=Ib29e10dc475411db9765f9243f53508a&amp;originationContext=document&amp;transitionType=DocumentItem&amp;contextData=(sc.Default)&amp;vr=3.0&amp;rs=cblt1.0" TargetMode="External"/><Relationship Id="rId105"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106"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107"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108" Type="http://schemas.openxmlformats.org/officeDocument/2006/relationships/hyperlink" Target="http://www.westlaw.com/Link/Document/FullText?entityType=disease&amp;entityId=Ic46e7640475411db9765f9243f53508a&amp;originationContext=document&amp;transitionType=DocumentItem&amp;contextData=(sc.Default)&amp;vr=3.0&amp;rs=cblt1.0" TargetMode="External"/><Relationship Id="rId109"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60"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61"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62"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63"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64"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65" Type="http://schemas.openxmlformats.org/officeDocument/2006/relationships/hyperlink" Target="http://www.westlaw.com/Link/Document/FullText?entityType=injury&amp;entityId=I777c69a4995711de9b8c850332338889&amp;originationContext=document&amp;transitionType=DocumentItem&amp;contextData=(sc.Default)&amp;vr=3.0&amp;rs=cblt1.0" TargetMode="External"/><Relationship Id="rId66"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67" Type="http://schemas.openxmlformats.org/officeDocument/2006/relationships/hyperlink" Target="http://www.westlaw.com/Link/Document/FullText?entityType=injury&amp;entityId=Ib29e10dc475411db9765f9243f53508a&amp;originationContext=document&amp;transitionType=DocumentItem&amp;contextData=(sc.Default)&amp;vr=3.0&amp;rs=cblt1.0" TargetMode="External"/><Relationship Id="rId68"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69" Type="http://schemas.openxmlformats.org/officeDocument/2006/relationships/hyperlink" Target="http://www.westlaw.com/Link/Document/FullText?entityType=injury&amp;entityId=Ib29e10dc475411db9765f9243f53508a&amp;originationContext=document&amp;transitionType=DocumentItem&amp;contextData=(sc.Default)&amp;vr=3.0&amp;rs=cblt1.0" TargetMode="External"/><Relationship Id="rId270"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271" Type="http://schemas.openxmlformats.org/officeDocument/2006/relationships/hyperlink" Target="http://www.westlaw.com/Link/Document/FullText?findType=Y&amp;serNum=1926122336&amp;pubNum=0000708&amp;originatingDoc=I1a2ed5c00f6511e79c1dcfeada4fe8e0&amp;refType=RP&amp;originationContext=document&amp;vr=3.0&amp;rs=cblt1.0&amp;transitionType=DocumentItem&amp;contextData=(sc.UserEnteredCitation)" TargetMode="External"/><Relationship Id="rId272" Type="http://schemas.openxmlformats.org/officeDocument/2006/relationships/hyperlink" Target="http://www.westlaw.com/Link/Document/FullText?findType=Y&amp;serNum=1996113140&amp;pubNum=0000708&amp;originatingDoc=I1a2ed5c00f6511e79c1dcfeada4fe8e0&amp;refType=RP&amp;originationContext=document&amp;vr=3.0&amp;rs=cblt1.0&amp;transitionType=DocumentItem&amp;contextData=(sc.UserEnteredCitation)" TargetMode="External"/><Relationship Id="rId273" Type="http://schemas.openxmlformats.org/officeDocument/2006/relationships/hyperlink" Target="http://www.westlaw.com/Link/Document/FullText?findType=Y&amp;serNum=1999062521&amp;pubNum=0000708&amp;originatingDoc=I1a2ed5c00f6511e79c1dcfeada4fe8e0&amp;refType=RP&amp;originationContext=document&amp;vr=3.0&amp;rs=cblt1.0&amp;transitionType=DocumentItem&amp;contextData=(sc.UserEnteredCitation)" TargetMode="External"/><Relationship Id="rId274" Type="http://schemas.openxmlformats.org/officeDocument/2006/relationships/hyperlink" Target="http://www.westlaw.com/Link/Document/FullText?findType=Y&amp;serNum=1999062521&amp;pubNum=0000708&amp;originatingDoc=I1a2ed5c00f6511e79c1dcfeada4fe8e0&amp;refType=RP&amp;originationContext=document&amp;vr=3.0&amp;rs=cblt1.0&amp;transitionType=DocumentItem&amp;contextData=(sc.UserEnteredCitation)" TargetMode="External"/><Relationship Id="rId275" Type="http://schemas.openxmlformats.org/officeDocument/2006/relationships/hyperlink" Target="http://www.westlaw.com/Link/Document/FullText?findType=Y&amp;serNum=2009124306&amp;pubNum=0000506&amp;originatingDoc=I1a2ed5c00f6511e79c1dcfeada4fe8e0&amp;refType=RP&amp;fi=co_pp_sp_506_525&amp;originationContext=document&amp;vr=3.0&amp;rs=cblt1.0&amp;transitionType=DocumentItem&amp;contextData=(sc.UserEnteredCitation)#co_pp_sp_506_525" TargetMode="External"/><Relationship Id="rId276" Type="http://schemas.openxmlformats.org/officeDocument/2006/relationships/hyperlink" Target="http://www.westlaw.com/Link/Document/FullText?findType=Y&amp;serNum=1929122370&amp;pubNum=0000708&amp;originatingDoc=I1a2ed5c00f6511e79c1dcfeada4fe8e0&amp;refType=RP&amp;originationContext=document&amp;vr=3.0&amp;rs=cblt1.0&amp;transitionType=DocumentItem&amp;contextData=(sc.UserEnteredCitation)" TargetMode="External"/><Relationship Id="rId277" Type="http://schemas.openxmlformats.org/officeDocument/2006/relationships/hyperlink" Target="http://www.westlaw.com/Link/Document/FullText?findType=Y&amp;serNum=2025432402&amp;pubNum=0000708&amp;originatingDoc=I1a2ed5c00f6511e79c1dcfeada4fe8e0&amp;refType=RP&amp;originationContext=document&amp;vr=3.0&amp;rs=cblt1.0&amp;transitionType=DocumentItem&amp;contextData=(sc.UserEnteredCitation)" TargetMode="External"/><Relationship Id="rId278" Type="http://schemas.openxmlformats.org/officeDocument/2006/relationships/hyperlink" Target="http://www.westlaw.com/Link/Document/FullText?findType=Y&amp;serNum=2018265400&amp;originatingDoc=I1a2ed5c00f6511e79c1dcfeada4fe8e0&amp;refType=RP&amp;originationContext=document&amp;vr=3.0&amp;rs=cblt1.0&amp;transitionType=DocumentItem&amp;contextData=(sc.UserEnteredCitation)" TargetMode="External"/><Relationship Id="rId279" Type="http://schemas.openxmlformats.org/officeDocument/2006/relationships/hyperlink" Target="http://www.westlaw.com/Link/Document/FullText?findType=Y&amp;serNum=2025432402&amp;pubNum=0000708&amp;originatingDoc=I1a2ed5c00f6511e79c1dcfeada4fe8e0&amp;refType=RP&amp;originationContext=document&amp;vr=3.0&amp;rs=cblt1.0&amp;transitionType=DocumentItem&amp;contextData=(sc.UserEnteredCitation)" TargetMode="External"/><Relationship Id="rId330" Type="http://schemas.openxmlformats.org/officeDocument/2006/relationships/hyperlink" Target="http://www.westlaw.com/Link/Document/FullText?findType=Y&amp;serNum=1988082578&amp;pubNum=0000780&amp;originatingDoc=I1a2ed5c00f6511e79c1dcfeada4fe8e0&amp;refType=RP&amp;originationContext=document&amp;vr=3.0&amp;rs=cblt1.0&amp;transitionType=DocumentItem&amp;contextData=(sc.UserEnteredCitation)" TargetMode="External"/><Relationship Id="rId331" Type="http://schemas.openxmlformats.org/officeDocument/2006/relationships/hyperlink" Target="http://www.westlaw.com/Link/Document/FullText?findType=Y&amp;serNum=2030445345&amp;pubNum=0000506&amp;originatingDoc=I1a2ed5c00f6511e79c1dcfeada4fe8e0&amp;refType=RP&amp;originationContext=document&amp;vr=3.0&amp;rs=cblt1.0&amp;transitionType=DocumentItem&amp;contextData=(sc.UserEnteredCitation)" TargetMode="External"/><Relationship Id="rId332" Type="http://schemas.openxmlformats.org/officeDocument/2006/relationships/hyperlink" Target="http://www.westlaw.com/Link/Document/FullText?findType=Y&amp;serNum=2030445345&amp;pubNum=0000506&amp;originatingDoc=I1a2ed5c00f6511e79c1dcfeada4fe8e0&amp;refType=RP&amp;originationContext=document&amp;vr=3.0&amp;rs=cblt1.0&amp;transitionType=DocumentItem&amp;contextData=(sc.UserEnteredCitation)" TargetMode="External"/><Relationship Id="rId333" Type="http://schemas.openxmlformats.org/officeDocument/2006/relationships/hyperlink" Target="http://www.westlaw.com/Link/Document/FullText?findType=Y&amp;serNum=2030445345&amp;pubNum=0000506&amp;originatingDoc=I1a2ed5c00f6511e79c1dcfeada4fe8e0&amp;refType=RP&amp;fi=co_pp_sp_506_496&amp;originationContext=document&amp;vr=3.0&amp;rs=cblt1.0&amp;transitionType=DocumentItem&amp;contextData=(sc.UserEnteredCitation)#co_pp_sp_506_496" TargetMode="External"/><Relationship Id="rId334" Type="http://schemas.openxmlformats.org/officeDocument/2006/relationships/hyperlink" Target="http://www.westlaw.com/Link/Document/FullText?findType=Y&amp;serNum=2000382973&amp;pubNum=0000708&amp;originatingDoc=I1a2ed5c00f6511e79c1dcfeada4fe8e0&amp;refType=RP&amp;originationContext=document&amp;vr=3.0&amp;rs=cblt1.0&amp;transitionType=DocumentItem&amp;contextData=(sc.UserEnteredCitation)" TargetMode="External"/><Relationship Id="rId335" Type="http://schemas.openxmlformats.org/officeDocument/2006/relationships/hyperlink" Target="http://www.westlaw.com/Link/Document/FullText?findType=Y&amp;serNum=2030445345&amp;pubNum=0000506&amp;originatingDoc=I1a2ed5c00f6511e79c1dcfeada4fe8e0&amp;refType=RP&amp;originationContext=document&amp;vr=3.0&amp;rs=cblt1.0&amp;transitionType=DocumentItem&amp;contextData=(sc.UserEnteredCitation)" TargetMode="External"/><Relationship Id="rId336" Type="http://schemas.openxmlformats.org/officeDocument/2006/relationships/hyperlink" Target="http://www.westlaw.com/Link/Document/FullText?findType=Y&amp;serNum=1988082578&amp;pubNum=0000780&amp;originatingDoc=I1a2ed5c00f6511e79c1dcfeada4fe8e0&amp;refType=RP&amp;originationContext=document&amp;vr=3.0&amp;rs=cblt1.0&amp;transitionType=DocumentItem&amp;contextData=(sc.UserEnteredCitation)" TargetMode="External"/><Relationship Id="rId337" Type="http://schemas.openxmlformats.org/officeDocument/2006/relationships/hyperlink" Target="http://www.westlaw.com/Link/Document/FullText?findType=Y&amp;serNum=2030445345&amp;pubNum=0000506&amp;originatingDoc=I1a2ed5c00f6511e79c1dcfeada4fe8e0&amp;refType=RP&amp;originationContext=document&amp;vr=3.0&amp;rs=cblt1.0&amp;transitionType=DocumentItem&amp;contextData=(sc.UserEnteredCitation)" TargetMode="External"/><Relationship Id="rId338" Type="http://schemas.openxmlformats.org/officeDocument/2006/relationships/hyperlink" Target="http://www.westlaw.com/Link/Document/FullText?findType=Y&amp;serNum=2018265400&amp;pubNum=0004637&amp;originatingDoc=I1a2ed5c00f6511e79c1dcfeada4fe8e0&amp;refType=RP&amp;originationContext=document&amp;vr=3.0&amp;rs=cblt1.0&amp;transitionType=DocumentItem&amp;contextData=(sc.UserEnteredCitation)" TargetMode="External"/><Relationship Id="rId339" Type="http://schemas.openxmlformats.org/officeDocument/2006/relationships/hyperlink" Target="http://www.westlaw.com/Link/Document/FullText?findType=Y&amp;serNum=2018265400&amp;pubNum=0004637&amp;originatingDoc=I1a2ed5c00f6511e79c1dcfeada4fe8e0&amp;refType=RP&amp;originationContext=document&amp;vr=3.0&amp;rs=cblt1.0&amp;transitionType=DocumentItem&amp;contextData=(sc.UserEnteredCitation)" TargetMode="External"/><Relationship Id="rId110" Type="http://schemas.openxmlformats.org/officeDocument/2006/relationships/hyperlink" Target="http://www.westlaw.com/Link/Document/FullText?entityType=disease&amp;entityId=Ic46e7640475411db9765f9243f53508a&amp;originationContext=document&amp;transitionType=DocumentItem&amp;contextData=(sc.Default)&amp;vr=3.0&amp;rs=cblt1.0" TargetMode="External"/><Relationship Id="rId111" Type="http://schemas.openxmlformats.org/officeDocument/2006/relationships/hyperlink" Target="http://www.westlaw.com/Link/Document/FullText?entityType=injury&amp;entityId=Ib29e10dc475411db9765f9243f53508a&amp;originationContext=document&amp;transitionType=DocumentItem&amp;contextData=(sc.Default)&amp;vr=3.0&amp;rs=cblt1.0" TargetMode="External"/><Relationship Id="rId112"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113"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114"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115" Type="http://schemas.openxmlformats.org/officeDocument/2006/relationships/hyperlink" Target="http://www.westlaw.com/Link/Document/FullText?entityType=injury&amp;entityId=I777c69a4995711de9b8c850332338889&amp;originationContext=document&amp;transitionType=DocumentItem&amp;contextData=(sc.Default)&amp;vr=3.0&amp;rs=cblt1.0" TargetMode="External"/><Relationship Id="rId70"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71" Type="http://schemas.openxmlformats.org/officeDocument/2006/relationships/hyperlink" Target="http://www.westlaw.com/Link/Document/FullText?entityType=injury&amp;entityId=Ib29e10dc475411db9765f9243f53508a&amp;originationContext=document&amp;transitionType=DocumentItem&amp;contextData=(sc.Default)&amp;vr=3.0&amp;rs=cblt1.0" TargetMode="External"/><Relationship Id="rId72" Type="http://schemas.openxmlformats.org/officeDocument/2006/relationships/hyperlink" Target="http://www.westlaw.com/Link/Document/FullText?findType=L&amp;pubNum=1000546&amp;cite=21USCAS301&amp;originatingDoc=I1a2ed5c00f6511e79c1dcfeada4fe8e0&amp;refType=LQ&amp;originationContext=document&amp;vr=3.0&amp;rs=cblt1.0&amp;transitionType=DocumentItem&amp;contextData=(sc.UserEnteredCitation)" TargetMode="External"/><Relationship Id="rId73" Type="http://schemas.openxmlformats.org/officeDocument/2006/relationships/hyperlink" Target="http://www.westlaw.com/Link/Document/FullText?findType=L&amp;pubNum=1000547&amp;cite=21CFRS201.57&amp;originatingDoc=I1a2ed5c00f6511e79c1dcfeada4fe8e0&amp;refType=LQ&amp;originationContext=document&amp;vr=3.0&amp;rs=cblt1.0&amp;transitionType=DocumentItem&amp;contextData=(sc.UserEnteredCitation)" TargetMode="External"/><Relationship Id="rId74" Type="http://schemas.openxmlformats.org/officeDocument/2006/relationships/hyperlink" Target="http://www.westlaw.com/Link/Document/FullText?findType=L&amp;pubNum=1000546&amp;cite=21USCAS355&amp;originatingDoc=I1a2ed5c00f6511e79c1dcfeada4fe8e0&amp;refType=SP&amp;originationContext=document&amp;vr=3.0&amp;rs=cblt1.0&amp;transitionType=DocumentItem&amp;contextData=(sc.UserEnteredCitation)#co_pp_3fed000053a85" TargetMode="External"/><Relationship Id="rId75" Type="http://schemas.openxmlformats.org/officeDocument/2006/relationships/hyperlink" Target="http://www.westlaw.com/Link/Document/FullText?findType=Y&amp;serNum=2027699995&amp;pubNum=0000506&amp;originatingDoc=I1a2ed5c00f6511e79c1dcfeada4fe8e0&amp;refType=RP&amp;fi=co_pp_sp_506_239&amp;originationContext=document&amp;vr=3.0&amp;rs=cblt1.0&amp;transitionType=DocumentItem&amp;contextData=(sc.UserEnteredCitation)#co_pp_sp_506_239" TargetMode="External"/><Relationship Id="rId76" Type="http://schemas.openxmlformats.org/officeDocument/2006/relationships/hyperlink" Target="http://www.westlaw.com/Link/Document/FullText?findType=L&amp;pubNum=1000546&amp;cite=21USCAS355&amp;originatingDoc=I1a2ed5c00f6511e79c1dcfeada4fe8e0&amp;refType=SP&amp;originationContext=document&amp;vr=3.0&amp;rs=cblt1.0&amp;transitionType=DocumentItem&amp;contextData=(sc.UserEnteredCitation)#co_pp_5ba1000067d06" TargetMode="External"/><Relationship Id="rId77" Type="http://schemas.openxmlformats.org/officeDocument/2006/relationships/hyperlink" Target="http://www.westlaw.com/Link/Document/FullText?findType=L&amp;pubNum=1000547&amp;cite=21CFRS314.105&amp;originatingDoc=I1a2ed5c00f6511e79c1dcfeada4fe8e0&amp;refType=LQ&amp;originationContext=document&amp;vr=3.0&amp;rs=cblt1.0&amp;transitionType=DocumentItem&amp;contextData=(sc.UserEnteredCitation)" TargetMode="External"/><Relationship Id="rId78" Type="http://schemas.openxmlformats.org/officeDocument/2006/relationships/hyperlink" Target="http://www.westlaw.com/Link/Document/FullText?findType=L&amp;pubNum=1000546&amp;cite=21USCAS355&amp;originatingDoc=I1a2ed5c00f6511e79c1dcfeada4fe8e0&amp;refType=SP&amp;originationContext=document&amp;vr=3.0&amp;rs=cblt1.0&amp;transitionType=DocumentItem&amp;contextData=(sc.UserEnteredCitation)#co_pp_0fc50000781c0" TargetMode="External"/><Relationship Id="rId79" Type="http://schemas.openxmlformats.org/officeDocument/2006/relationships/hyperlink" Target="http://www.westlaw.com/Link/Document/FullText?findType=Y&amp;serNum=2018265400&amp;pubNum=0000708&amp;originatingDoc=I1a2ed5c00f6511e79c1dcfeada4fe8e0&amp;refType=RP&amp;originationContext=document&amp;vr=3.0&amp;rs=cblt1.0&amp;transitionType=DocumentItem&amp;contextData=(sc.UserEnteredCitation)" TargetMode="External"/><Relationship Id="rId116"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117"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118"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119" Type="http://schemas.openxmlformats.org/officeDocument/2006/relationships/hyperlink" Target="http://www.westlaw.com/Link/Document/FullText?findType=l&amp;pubNum=0001037&amp;cite=UUID(I9E523020C42611DCAC13CB979A4F4D3A)&amp;originatingDoc=I1a2ed5c00f6511e79c1dcfeada4fe8e0&amp;refType=CP&amp;fi=co_pp_sp_1037_2848&amp;originationContext=document&amp;vr=3.0&amp;rs=cblt1.0&amp;transitionType=DocumentItem&amp;contextData=(sc.UserEnteredCitation)#co_pp_sp_1037_2848" TargetMode="External"/><Relationship Id="rId280" Type="http://schemas.openxmlformats.org/officeDocument/2006/relationships/hyperlink" Target="http://www.westlaw.com/Link/Document/FullText?findType=Y&amp;serNum=1929122370&amp;pubNum=0000708&amp;originatingDoc=I1a2ed5c00f6511e79c1dcfeada4fe8e0&amp;refType=RP&amp;originationContext=document&amp;vr=3.0&amp;rs=cblt1.0&amp;transitionType=DocumentItem&amp;contextData=(sc.UserEnteredCitation)" TargetMode="External"/><Relationship Id="rId281" Type="http://schemas.openxmlformats.org/officeDocument/2006/relationships/hyperlink" Target="http://www.westlaw.com/Link/Document/FullText?findType=Y&amp;serNum=1971127008&amp;pubNum=0000708&amp;originatingDoc=I1a2ed5c00f6511e79c1dcfeada4fe8e0&amp;refType=RP&amp;originationContext=document&amp;vr=3.0&amp;rs=cblt1.0&amp;transitionType=DocumentItem&amp;contextData=(sc.UserEnteredCitation)" TargetMode="External"/><Relationship Id="rId282" Type="http://schemas.openxmlformats.org/officeDocument/2006/relationships/hyperlink" Target="http://www.westlaw.com/Link/Document/FullText?findType=Y&amp;serNum=2018265400&amp;pubNum=0000708&amp;originatingDoc=I1a2ed5c00f6511e79c1dcfeada4fe8e0&amp;refType=RP&amp;originationContext=document&amp;vr=3.0&amp;rs=cblt1.0&amp;transitionType=DocumentItem&amp;contextData=(sc.UserEnteredCitation)" TargetMode="External"/><Relationship Id="rId283" Type="http://schemas.openxmlformats.org/officeDocument/2006/relationships/hyperlink" Target="#co_anchor_F72041287330_1" TargetMode="External"/><Relationship Id="rId284"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285"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286" Type="http://schemas.openxmlformats.org/officeDocument/2006/relationships/hyperlink" Target="#co_anchor_F82041287330_1" TargetMode="External"/><Relationship Id="rId287"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288"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289"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340" Type="http://schemas.openxmlformats.org/officeDocument/2006/relationships/hyperlink" Target="http://www.westlaw.com/Link/Document/FullText?findType=Y&amp;serNum=2018265400&amp;pubNum=0004637&amp;originatingDoc=I1a2ed5c00f6511e79c1dcfeada4fe8e0&amp;refType=RP&amp;originationContext=document&amp;vr=3.0&amp;rs=cblt1.0&amp;transitionType=DocumentItem&amp;contextData=(sc.UserEnteredCitation)" TargetMode="External"/><Relationship Id="rId341" Type="http://schemas.openxmlformats.org/officeDocument/2006/relationships/hyperlink" Target="http://www.westlaw.com/Link/Document/FullText?findType=Y&amp;serNum=1982119203&amp;pubNum=0000708&amp;originatingDoc=I1a2ed5c00f6511e79c1dcfeada4fe8e0&amp;refType=RP&amp;originationContext=document&amp;vr=3.0&amp;rs=cblt1.0&amp;transitionType=DocumentItem&amp;contextData=(sc.UserEnteredCitation)" TargetMode="External"/><Relationship Id="rId342" Type="http://schemas.openxmlformats.org/officeDocument/2006/relationships/hyperlink" Target="http://www.westlaw.com/Link/Document/FullText?findType=Y&amp;serNum=1985158621&amp;pubNum=0000708&amp;originatingDoc=I1a2ed5c00f6511e79c1dcfeada4fe8e0&amp;refType=RP&amp;originationContext=document&amp;vr=3.0&amp;rs=cblt1.0&amp;transitionType=DocumentItem&amp;contextData=(sc.UserEnteredCitation)" TargetMode="External"/><Relationship Id="rId343" Type="http://schemas.openxmlformats.org/officeDocument/2006/relationships/hyperlink" Target="http://www.westlaw.com/Link/Document/FullText?findType=Y&amp;serNum=2018265400&amp;pubNum=0004637&amp;originatingDoc=I1a2ed5c00f6511e79c1dcfeada4fe8e0&amp;refType=RP&amp;originationContext=document&amp;vr=3.0&amp;rs=cblt1.0&amp;transitionType=DocumentItem&amp;contextData=(sc.UserEnteredCitation)" TargetMode="External"/><Relationship Id="rId344" Type="http://schemas.openxmlformats.org/officeDocument/2006/relationships/hyperlink" Target="http://www.westlaw.com/Link/Document/FullText?findType=Y&amp;serNum=2021718660&amp;pubNum=0000506&amp;originatingDoc=I1a2ed5c00f6511e79c1dcfeada4fe8e0&amp;refType=RP&amp;originationContext=document&amp;vr=3.0&amp;rs=cblt1.0&amp;transitionType=DocumentItem&amp;contextData=(sc.UserEnteredCitation)" TargetMode="External"/><Relationship Id="rId345" Type="http://schemas.openxmlformats.org/officeDocument/2006/relationships/hyperlink" Target="http://www.westlaw.com/Link/Document/FullText?findType=Y&amp;serNum=2021718660&amp;pubNum=0000506&amp;originatingDoc=I1a2ed5c00f6511e79c1dcfeada4fe8e0&amp;refType=RP&amp;originationContext=document&amp;vr=3.0&amp;rs=cblt1.0&amp;transitionType=DocumentItem&amp;contextData=(sc.UserEnteredCitation)" TargetMode="External"/><Relationship Id="rId346" Type="http://schemas.openxmlformats.org/officeDocument/2006/relationships/hyperlink" Target="http://www.westlaw.com/Link/Document/FullText?findType=Y&amp;serNum=2021718660&amp;pubNum=0000506&amp;originatingDoc=I1a2ed5c00f6511e79c1dcfeada4fe8e0&amp;refType=RP&amp;fi=co_pp_sp_506_269&amp;originationContext=document&amp;vr=3.0&amp;rs=cblt1.0&amp;transitionType=DocumentItem&amp;contextData=(sc.UserEnteredCitation)#co_pp_sp_506_269" TargetMode="External"/><Relationship Id="rId347" Type="http://schemas.openxmlformats.org/officeDocument/2006/relationships/hyperlink" Target="http://www.westlaw.com/Link/Document/FullText?findType=Y&amp;serNum=2021718660&amp;pubNum=0000506&amp;originatingDoc=I1a2ed5c00f6511e79c1dcfeada4fe8e0&amp;refType=RP&amp;fi=co_pp_sp_506_269&amp;originationContext=document&amp;vr=3.0&amp;rs=cblt1.0&amp;transitionType=DocumentItem&amp;contextData=(sc.UserEnteredCitation)#co_pp_sp_506_269" TargetMode="External"/><Relationship Id="rId348" Type="http://schemas.openxmlformats.org/officeDocument/2006/relationships/hyperlink" Target="http://www.westlaw.com/Link/Document/FullText?findType=Y&amp;serNum=2021718660&amp;pubNum=0000506&amp;originatingDoc=I1a2ed5c00f6511e79c1dcfeada4fe8e0&amp;refType=RP&amp;fi=co_pp_sp_506_269&amp;originationContext=document&amp;vr=3.0&amp;rs=cblt1.0&amp;transitionType=DocumentItem&amp;contextData=(sc.UserEnteredCitation)#co_pp_sp_506_269" TargetMode="External"/><Relationship Id="rId349" Type="http://schemas.openxmlformats.org/officeDocument/2006/relationships/hyperlink" Target="http://www.westlaw.com/Link/Document/FullText?findType=Y&amp;serNum=2021718660&amp;pubNum=0000506&amp;originatingDoc=I1a2ed5c00f6511e79c1dcfeada4fe8e0&amp;refType=RP&amp;fi=co_pp_sp_506_269&amp;originationContext=document&amp;vr=3.0&amp;rs=cblt1.0&amp;transitionType=DocumentItem&amp;contextData=(sc.UserEnteredCitation)#co_pp_sp_506_269" TargetMode="External"/><Relationship Id="rId400" Type="http://schemas.openxmlformats.org/officeDocument/2006/relationships/hyperlink" Target="http://www.westlaw.com/Link/Document/FullText?findType=Y&amp;serNum=2011714458&amp;pubNum=0000506&amp;originatingDoc=I1a2ed5c00f6511e79c1dcfeada4fe8e0&amp;refType=RP&amp;fi=co_pp_sp_506_238&amp;originationContext=document&amp;vr=3.0&amp;rs=cblt1.0&amp;transitionType=DocumentItem&amp;contextData=(sc.UserEnteredCitation)#co_pp_sp_506_238" TargetMode="External"/><Relationship Id="rId401" Type="http://schemas.openxmlformats.org/officeDocument/2006/relationships/hyperlink" Target="#co_anchor_F132041287330_1" TargetMode="External"/><Relationship Id="rId402" Type="http://schemas.openxmlformats.org/officeDocument/2006/relationships/hyperlink" Target="#co_anchor_F142041287330_1" TargetMode="External"/><Relationship Id="rId403" Type="http://schemas.openxmlformats.org/officeDocument/2006/relationships/hyperlink" Target="http://www.westlaw.com/Link/Document/FullText?findType=Y&amp;serNum=2018265400&amp;originatingDoc=I1a2ed5c00f6511e79c1dcfeada4fe8e0&amp;refType=RP&amp;originationContext=document&amp;vr=3.0&amp;rs=cblt1.0&amp;transitionType=DocumentItem&amp;contextData=(sc.UserEnteredCitation)" TargetMode="External"/><Relationship Id="rId404" Type="http://schemas.openxmlformats.org/officeDocument/2006/relationships/hyperlink" Target="http://www.westlaw.com/Link/Document/FullText?findType=Y&amp;serNum=2011714458&amp;pubNum=0000506&amp;originatingDoc=I1a2ed5c00f6511e79c1dcfeada4fe8e0&amp;refType=RP&amp;originationContext=document&amp;vr=3.0&amp;rs=cblt1.0&amp;transitionType=DocumentItem&amp;contextData=(sc.UserEnteredCitation)" TargetMode="External"/><Relationship Id="rId405" Type="http://schemas.openxmlformats.org/officeDocument/2006/relationships/hyperlink" Target="http://www.westlaw.com/Link/Document/FullText?findType=Y&amp;serNum=2025536613&amp;pubNum=0000708&amp;originatingDoc=I1a2ed5c00f6511e79c1dcfeada4fe8e0&amp;refType=RP&amp;originationContext=document&amp;vr=3.0&amp;rs=cblt1.0&amp;transitionType=DocumentItem&amp;contextData=(sc.UserEnteredCitation)" TargetMode="External"/><Relationship Id="rId406" Type="http://schemas.openxmlformats.org/officeDocument/2006/relationships/hyperlink" Target="http://www.westlaw.com/Link/Document/FullText?findType=Y&amp;serNum=2011714458&amp;pubNum=0000506&amp;originatingDoc=I1a2ed5c00f6511e79c1dcfeada4fe8e0&amp;refType=RP&amp;fi=co_pp_sp_506_237&amp;originationContext=document&amp;vr=3.0&amp;rs=cblt1.0&amp;transitionType=DocumentItem&amp;contextData=(sc.UserEnteredCitation)#co_pp_sp_506_237" TargetMode="External"/><Relationship Id="rId407" Type="http://schemas.openxmlformats.org/officeDocument/2006/relationships/hyperlink" Target="http://www.westlaw.com/Link/Document/FullText?findType=Y&amp;serNum=1986132674&amp;pubNum=0000708&amp;originatingDoc=I1a2ed5c00f6511e79c1dcfeada4fe8e0&amp;refType=RP&amp;originationContext=document&amp;vr=3.0&amp;rs=cblt1.0&amp;transitionType=DocumentItem&amp;contextData=(sc.UserEnteredCitation)" TargetMode="External"/><Relationship Id="rId408" Type="http://schemas.openxmlformats.org/officeDocument/2006/relationships/hyperlink" Target="http://www.westlaw.com/Link/Document/FullText?findType=Y&amp;serNum=2011714458&amp;pubNum=0000506&amp;originatingDoc=I1a2ed5c00f6511e79c1dcfeada4fe8e0&amp;refType=RP&amp;fi=co_pp_sp_506_238&amp;originationContext=document&amp;vr=3.0&amp;rs=cblt1.0&amp;transitionType=DocumentItem&amp;contextData=(sc.UserEnteredCitation)#co_pp_sp_506_238" TargetMode="External"/><Relationship Id="rId409" Type="http://schemas.openxmlformats.org/officeDocument/2006/relationships/hyperlink" Target="#co_anchor_F152041287330_1" TargetMode="External"/><Relationship Id="rId120" Type="http://schemas.openxmlformats.org/officeDocument/2006/relationships/hyperlink" Target="http://www.westlaw.com/Link/Document/FullText?entityType=injury&amp;entityId=Ib29e10dc475411db9765f9243f53508a&amp;originationContext=document&amp;transitionType=DocumentItem&amp;contextData=(sc.Default)&amp;vr=3.0&amp;rs=cblt1.0" TargetMode="External"/><Relationship Id="rId121" Type="http://schemas.openxmlformats.org/officeDocument/2006/relationships/hyperlink" Target="http://www.westlaw.com/Link/Document/FullText?findType=l&amp;pubNum=0001037&amp;cite=UUID(I9E523020C42611DCAC13CB979A4F4D3A)&amp;originatingDoc=I1a2ed5c00f6511e79c1dcfeada4fe8e0&amp;refType=CP&amp;fi=co_pp_sp_1037_2848&amp;originationContext=document&amp;vr=3.0&amp;rs=cblt1.0&amp;transitionType=DocumentItem&amp;contextData=(sc.UserEnteredCitation)#co_pp_sp_1037_2848" TargetMode="External"/><Relationship Id="rId122"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123" Type="http://schemas.openxmlformats.org/officeDocument/2006/relationships/hyperlink" Target="http://www.westlaw.com/Link/Document/FullText?entityType=injury&amp;entityId=Ib29e10dc475411db9765f9243f53508a&amp;originationContext=document&amp;transitionType=DocumentItem&amp;contextData=(sc.Default)&amp;vr=3.0&amp;rs=cblt1.0" TargetMode="External"/><Relationship Id="rId124"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125"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80" Type="http://schemas.openxmlformats.org/officeDocument/2006/relationships/hyperlink" Target="http://www.westlaw.com/Link/Document/FullText?findType=Y&amp;serNum=2018265400&amp;pubNum=0000708&amp;originatingDoc=I1a2ed5c00f6511e79c1dcfeada4fe8e0&amp;refType=RP&amp;originationContext=document&amp;vr=3.0&amp;rs=cblt1.0&amp;transitionType=DocumentItem&amp;contextData=(sc.UserEnteredCitation)" TargetMode="External"/><Relationship Id="rId81" Type="http://schemas.openxmlformats.org/officeDocument/2006/relationships/hyperlink" Target="http://www.westlaw.com/Link/Document/FullText?findType=L&amp;pubNum=1000546&amp;cite=21USCAS355&amp;originatingDoc=I1a2ed5c00f6511e79c1dcfeada4fe8e0&amp;refType=SP&amp;originationContext=document&amp;vr=3.0&amp;rs=cblt1.0&amp;transitionType=DocumentItem&amp;contextData=(sc.UserEnteredCitation)#co_pp_8fbe000087e17" TargetMode="External"/><Relationship Id="rId82" Type="http://schemas.openxmlformats.org/officeDocument/2006/relationships/hyperlink" Target="http://www.westlaw.com/Link/Document/FullText?findType=Y&amp;serNum=2018265400&amp;pubNum=0000708&amp;originatingDoc=I1a2ed5c00f6511e79c1dcfeada4fe8e0&amp;refType=RP&amp;originationContext=document&amp;vr=3.0&amp;rs=cblt1.0&amp;transitionType=DocumentItem&amp;contextData=(sc.UserEnteredCitation)" TargetMode="External"/><Relationship Id="rId83" Type="http://schemas.openxmlformats.org/officeDocument/2006/relationships/hyperlink" Target="http://www.westlaw.com/Link/Document/FullText?findType=L&amp;pubNum=1000547&amp;cite=21CFRS314.70&amp;originatingDoc=I1a2ed5c00f6511e79c1dcfeada4fe8e0&amp;refType=LQ&amp;originationContext=document&amp;vr=3.0&amp;rs=cblt1.0&amp;transitionType=DocumentItem&amp;contextData=(sc.UserEnteredCitation)" TargetMode="External"/><Relationship Id="rId84" Type="http://schemas.openxmlformats.org/officeDocument/2006/relationships/hyperlink" Target="http://www.westlaw.com/Link/Document/FullText?findType=Y&amp;serNum=2018265400&amp;pubNum=0000708&amp;originatingDoc=I1a2ed5c00f6511e79c1dcfeada4fe8e0&amp;refType=RP&amp;originationContext=document&amp;vr=3.0&amp;rs=cblt1.0&amp;transitionType=DocumentItem&amp;contextData=(sc.UserEnteredCitation)" TargetMode="External"/><Relationship Id="rId85" Type="http://schemas.openxmlformats.org/officeDocument/2006/relationships/hyperlink" Target="http://www.westlaw.com/Link/Document/FullText?findType=L&amp;pubNum=1000547&amp;cite=21CFRS314.70&amp;originatingDoc=I1a2ed5c00f6511e79c1dcfeada4fe8e0&amp;refType=SP&amp;originationContext=document&amp;vr=3.0&amp;rs=cblt1.0&amp;transitionType=DocumentItem&amp;contextData=(sc.UserEnteredCitation)#co_pp_fa900000356b3" TargetMode="External"/><Relationship Id="rId86" Type="http://schemas.openxmlformats.org/officeDocument/2006/relationships/hyperlink" Target="http://www.westlaw.com/Link/Document/FullText?findType=l&amp;pubNum=0001037&amp;cite=UUID(I878D1290703511DDB4DAFB5D12E85405)&amp;originatingDoc=I1a2ed5c00f6511e79c1dcfeada4fe8e0&amp;refType=CP&amp;fi=co_pp_sp_1037_49603&amp;originationContext=document&amp;vr=3.0&amp;rs=cblt1.0&amp;transitionType=DocumentItem&amp;contextData=(sc.UserEnteredCitation)#co_pp_sp_1037_49603" TargetMode="External"/><Relationship Id="rId87" Type="http://schemas.openxmlformats.org/officeDocument/2006/relationships/hyperlink" Target="http://www.westlaw.com/Link/Document/FullText?findType=L&amp;pubNum=1000547&amp;cite=21CFRS201.57&amp;originatingDoc=I1a2ed5c00f6511e79c1dcfeada4fe8e0&amp;refType=LQ&amp;originationContext=document&amp;vr=3.0&amp;rs=cblt1.0&amp;transitionType=DocumentItem&amp;contextData=(sc.UserEnteredCitation)" TargetMode="External"/><Relationship Id="rId88" Type="http://schemas.openxmlformats.org/officeDocument/2006/relationships/hyperlink" Target="http://www.westlaw.com/Link/Document/FullText?findType=l&amp;pubNum=0001037&amp;cite=UUID(I878D1290703511DDB4DAFB5D12E85405)&amp;originatingDoc=I1a2ed5c00f6511e79c1dcfeada4fe8e0&amp;refType=CP&amp;fi=co_pp_sp_1037_49604&amp;originationContext=document&amp;vr=3.0&amp;rs=cblt1.0&amp;transitionType=DocumentItem&amp;contextData=(sc.UserEnteredCitation)#co_pp_sp_1037_49604" TargetMode="External"/><Relationship Id="rId89" Type="http://schemas.openxmlformats.org/officeDocument/2006/relationships/hyperlink" Target="http://www.westlaw.com/Link/Document/FullText?findType=L&amp;pubNum=1000547&amp;cite=21CFRS314.3&amp;originatingDoc=I1a2ed5c00f6511e79c1dcfeada4fe8e0&amp;refType=LQ&amp;originationContext=document&amp;vr=3.0&amp;rs=cblt1.0&amp;transitionType=DocumentItem&amp;contextData=(sc.UserEnteredCitation)" TargetMode="External"/><Relationship Id="rId126" Type="http://schemas.openxmlformats.org/officeDocument/2006/relationships/hyperlink" Target="http://www.westlaw.com/Link/Document/FullText?findType=l&amp;pubNum=0001037&amp;cite=UUID(I9E523020C42611DCAC13CB979A4F4D3A)&amp;originatingDoc=I1a2ed5c00f6511e79c1dcfeada4fe8e0&amp;refType=CP&amp;fi=co_pp_sp_1037_2848&amp;originationContext=document&amp;vr=3.0&amp;rs=cblt1.0&amp;transitionType=DocumentItem&amp;contextData=(sc.UserEnteredCitation)#co_pp_sp_1037_2848" TargetMode="External"/><Relationship Id="rId127" Type="http://schemas.openxmlformats.org/officeDocument/2006/relationships/hyperlink" Target="http://www.westlaw.com/Link/Document/FullText?entityType=injury&amp;entityId=Ic2803a65475411db9765f9243f53508a&amp;originationContext=document&amp;transitionType=DocumentItem&amp;contextData=(sc.Default)&amp;vr=3.0&amp;rs=cblt1.0" TargetMode="External"/><Relationship Id="rId128"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129" Type="http://schemas.openxmlformats.org/officeDocument/2006/relationships/hyperlink" Target="http://www.westlaw.com/Link/Document/FullText?entityType=injury&amp;entityId=I777c69a4995711de9b8c850332338889&amp;originationContext=document&amp;transitionType=DocumentItem&amp;contextData=(sc.Default)&amp;vr=3.0&amp;rs=cblt1.0" TargetMode="External"/><Relationship Id="rId290"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291"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292"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293"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294"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295"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296"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297"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298" Type="http://schemas.openxmlformats.org/officeDocument/2006/relationships/hyperlink" Target="http://www.westlaw.com/Link/Document/FullText?findType=Y&amp;serNum=2021400295&amp;pubNum=0000506&amp;originatingDoc=I1a2ed5c00f6511e79c1dcfeada4fe8e0&amp;refType=RP&amp;originationContext=document&amp;vr=3.0&amp;rs=cblt1.0&amp;transitionType=DocumentItem&amp;contextData=(sc.UserEnteredCitation)" TargetMode="External"/><Relationship Id="rId299"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350" Type="http://schemas.openxmlformats.org/officeDocument/2006/relationships/hyperlink" Target="http://www.westlaw.com/Link/Document/FullText?findType=Y&amp;serNum=2009481786&amp;pubNum=0000506&amp;originatingDoc=I1a2ed5c00f6511e79c1dcfeada4fe8e0&amp;refType=RP&amp;fi=co_pp_sp_506_273&amp;originationContext=document&amp;vr=3.0&amp;rs=cblt1.0&amp;transitionType=DocumentItem&amp;contextData=(sc.UserEnteredCitation)#co_pp_sp_506_273" TargetMode="External"/><Relationship Id="rId351" Type="http://schemas.openxmlformats.org/officeDocument/2006/relationships/hyperlink" Target="http://www.westlaw.com/Link/Document/FullText?findType=Y&amp;serNum=1991137379&amp;pubNum=0000350&amp;originatingDoc=I1a2ed5c00f6511e79c1dcfeada4fe8e0&amp;refType=RP&amp;fi=co_pp_sp_350_900&amp;originationContext=document&amp;vr=3.0&amp;rs=cblt1.0&amp;transitionType=DocumentItem&amp;contextData=(sc.UserEnteredCitation)#co_pp_sp_350_900" TargetMode="External"/><Relationship Id="rId352" Type="http://schemas.openxmlformats.org/officeDocument/2006/relationships/hyperlink" Target="http://www.westlaw.com/Link/Document/FullText?findType=Y&amp;serNum=1999096566&amp;pubNum=0000506&amp;originatingDoc=I1a2ed5c00f6511e79c1dcfeada4fe8e0&amp;refType=RP&amp;fi=co_pp_sp_506_1300&amp;originationContext=document&amp;vr=3.0&amp;rs=cblt1.0&amp;transitionType=DocumentItem&amp;contextData=(sc.UserEnteredCitation)#co_pp_sp_506_1300" TargetMode="External"/><Relationship Id="rId353" Type="http://schemas.openxmlformats.org/officeDocument/2006/relationships/hyperlink" Target="http://www.westlaw.com/Link/Document/FullText?findType=Y&amp;serNum=2018265400&amp;pubNum=0004637&amp;originatingDoc=I1a2ed5c00f6511e79c1dcfeada4fe8e0&amp;refType=RP&amp;originationContext=document&amp;vr=3.0&amp;rs=cblt1.0&amp;transitionType=DocumentItem&amp;contextData=(sc.UserEnteredCitation)" TargetMode="External"/><Relationship Id="rId354" Type="http://schemas.openxmlformats.org/officeDocument/2006/relationships/hyperlink" Target="http://www.westlaw.com/Link/Document/FullText?findType=Y&amp;serNum=1985158621&amp;pubNum=0000708&amp;originatingDoc=I1a2ed5c00f6511e79c1dcfeada4fe8e0&amp;refType=RP&amp;originationContext=document&amp;vr=3.0&amp;rs=cblt1.0&amp;transitionType=DocumentItem&amp;contextData=(sc.UserEnteredCitation)" TargetMode="External"/><Relationship Id="rId355" Type="http://schemas.openxmlformats.org/officeDocument/2006/relationships/hyperlink" Target="http://www.westlaw.com/Link/Document/FullText?findType=Y&amp;serNum=2021718660&amp;pubNum=0000506&amp;originatingDoc=I1a2ed5c00f6511e79c1dcfeada4fe8e0&amp;refType=RP&amp;originationContext=document&amp;vr=3.0&amp;rs=cblt1.0&amp;transitionType=DocumentItem&amp;contextData=(sc.UserEnteredCitation)" TargetMode="External"/><Relationship Id="rId356" Type="http://schemas.openxmlformats.org/officeDocument/2006/relationships/hyperlink" Target="http://www.westlaw.com/Link/Document/FullText?findType=Y&amp;serNum=2018265400&amp;pubNum=0004637&amp;originatingDoc=I1a2ed5c00f6511e79c1dcfeada4fe8e0&amp;refType=RP&amp;originationContext=document&amp;vr=3.0&amp;rs=cblt1.0&amp;transitionType=DocumentItem&amp;contextData=(sc.UserEnteredCitation)" TargetMode="External"/><Relationship Id="rId357" Type="http://schemas.openxmlformats.org/officeDocument/2006/relationships/hyperlink" Target="http://www.westlaw.com/Link/Document/FullText?findType=Y&amp;serNum=1986132674&amp;pubNum=0000708&amp;originatingDoc=I1a2ed5c00f6511e79c1dcfeada4fe8e0&amp;refType=RP&amp;originationContext=document&amp;vr=3.0&amp;rs=cblt1.0&amp;transitionType=DocumentItem&amp;contextData=(sc.UserEnteredCitation)" TargetMode="External"/><Relationship Id="rId358"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359"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410" Type="http://schemas.openxmlformats.org/officeDocument/2006/relationships/hyperlink" Target="http://www.westlaw.com/Link/Document/FullText?findType=Y&amp;serNum=2018265400&amp;pubNum=0004637&amp;originatingDoc=I1a2ed5c00f6511e79c1dcfeada4fe8e0&amp;refType=RP&amp;originationContext=document&amp;vr=3.0&amp;rs=cblt1.0&amp;transitionType=DocumentItem&amp;contextData=(sc.UserEnteredCitation)" TargetMode="External"/><Relationship Id="rId411"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412"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413"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414" Type="http://schemas.openxmlformats.org/officeDocument/2006/relationships/hyperlink" Target="http://www.westlaw.com/Link/Document/FullText?entityType=injury&amp;entityId=Ic686cea7475411db9765f9243f53508a&amp;originationContext=document&amp;transitionType=DocumentItem&amp;contextData=(sc.Default)&amp;vr=3.0&amp;rs=cblt1.0" TargetMode="External"/><Relationship Id="rId415"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416"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417"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418"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419" Type="http://schemas.openxmlformats.org/officeDocument/2006/relationships/hyperlink" Target="http://www.westlaw.com/Link/Document/FullText?findType=L&amp;pubNum=1000546&amp;cite=21USCAS355&amp;originatingDoc=I1a2ed5c00f6511e79c1dcfeada4fe8e0&amp;refType=SP&amp;originationContext=document&amp;vr=3.0&amp;rs=cblt1.0&amp;transitionType=DocumentItem&amp;contextData=(sc.UserEnteredCitation)#co_pp_b42b0000580c0" TargetMode="External"/><Relationship Id="rId130"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131"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132"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133"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134" Type="http://schemas.openxmlformats.org/officeDocument/2006/relationships/hyperlink" Target="http://www.westlaw.com/Link/Document/FullText?entityType=disease&amp;entityId=Ib159d168475411db9765f9243f53508a&amp;originationContext=document&amp;transitionType=DocumentItem&amp;contextData=(sc.Default)&amp;vr=3.0&amp;rs=cblt1.0" TargetMode="External"/><Relationship Id="rId135" Type="http://schemas.openxmlformats.org/officeDocument/2006/relationships/hyperlink" Target="http://www.westlaw.com/Link/Document/FullText?entityType=disease&amp;entityId=Ic21f078b475411db9765f9243f53508a&amp;originationContext=document&amp;transitionType=DocumentItem&amp;contextData=(sc.Default)&amp;vr=3.0&amp;rs=cblt1.0" TargetMode="External"/><Relationship Id="rId90" Type="http://schemas.openxmlformats.org/officeDocument/2006/relationships/hyperlink" Target="http://www.westlaw.com/Link/Document/FullText?findType=Y&amp;serNum=2018265400&amp;pubNum=0000708&amp;originatingDoc=I1a2ed5c00f6511e79c1dcfeada4fe8e0&amp;refType=RP&amp;originationContext=document&amp;vr=3.0&amp;rs=cblt1.0&amp;transitionType=DocumentItem&amp;contextData=(sc.UserEnteredCitation)" TargetMode="External"/><Relationship Id="rId91" Type="http://schemas.openxmlformats.org/officeDocument/2006/relationships/hyperlink" Target="http://www.westlaw.com/Link/Document/FullText?findType=l&amp;pubNum=0001037&amp;cite=UUID(I878D1290703511DDB4DAFB5D12E85405)&amp;originatingDoc=I1a2ed5c00f6511e79c1dcfeada4fe8e0&amp;refType=CP&amp;fi=co_pp_sp_1037_49606&amp;originationContext=document&amp;vr=3.0&amp;rs=cblt1.0&amp;transitionType=DocumentItem&amp;contextData=(sc.UserEnteredCitation)#co_pp_sp_1037_49606" TargetMode="External"/><Relationship Id="rId92" Type="http://schemas.openxmlformats.org/officeDocument/2006/relationships/hyperlink" Target="http://www.westlaw.com/Link/Document/FullText?findType=L&amp;pubNum=1000547&amp;cite=21CFRS314.70&amp;originatingDoc=I1a2ed5c00f6511e79c1dcfeada4fe8e0&amp;refType=LQ&amp;originationContext=document&amp;vr=3.0&amp;rs=cblt1.0&amp;transitionType=DocumentItem&amp;contextData=(sc.UserEnteredCitation)" TargetMode="External"/><Relationship Id="rId93" Type="http://schemas.openxmlformats.org/officeDocument/2006/relationships/hyperlink" Target="http://www.westlaw.com/Link/Document/FullText?findType=l&amp;pubNum=0001037&amp;cite=UUID(I9E523020C42611DCAC13CB979A4F4D3A)&amp;originatingDoc=I1a2ed5c00f6511e79c1dcfeada4fe8e0&amp;refType=CP&amp;fi=co_pp_sp_1037_2848&amp;originationContext=document&amp;vr=3.0&amp;rs=cblt1.0&amp;transitionType=DocumentItem&amp;contextData=(sc.UserEnteredCitation)#co_pp_sp_1037_2848" TargetMode="External"/><Relationship Id="rId94" Type="http://schemas.openxmlformats.org/officeDocument/2006/relationships/hyperlink" Target="http://www.westlaw.com/Link/Document/FullText?findType=l&amp;pubNum=0001037&amp;cite=UUID(I9E523020C42611DCAC13CB979A4F4D3A)&amp;originatingDoc=I1a2ed5c00f6511e79c1dcfeada4fe8e0&amp;refType=CP&amp;fi=co_pp_sp_1037_2848&amp;originationContext=document&amp;vr=3.0&amp;rs=cblt1.0&amp;transitionType=DocumentItem&amp;contextData=(sc.UserEnteredCitation)#co_pp_sp_1037_2848" TargetMode="External"/><Relationship Id="rId95" Type="http://schemas.openxmlformats.org/officeDocument/2006/relationships/hyperlink" Target="http://www.westlaw.com/Link/Document/FullText?findType=l&amp;pubNum=0001037&amp;cite=UUID(I9E523020C42611DCAC13CB979A4F4D3A)&amp;originatingDoc=I1a2ed5c00f6511e79c1dcfeada4fe8e0&amp;refType=CP&amp;fi=co_pp_sp_1037_2848&amp;originationContext=document&amp;vr=3.0&amp;rs=cblt1.0&amp;transitionType=DocumentItem&amp;contextData=(sc.UserEnteredCitation)#co_pp_sp_1037_2848" TargetMode="External"/><Relationship Id="rId96"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97"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98" Type="http://schemas.openxmlformats.org/officeDocument/2006/relationships/hyperlink" Target="http://www.westlaw.com/Link/Document/FullText?entityType=injury&amp;entityId=Ib29e10dc475411db9765f9243f53508a&amp;originationContext=document&amp;transitionType=DocumentItem&amp;contextData=(sc.Default)&amp;vr=3.0&amp;rs=cblt1.0" TargetMode="External"/><Relationship Id="rId99"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136"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137" Type="http://schemas.openxmlformats.org/officeDocument/2006/relationships/hyperlink" Target="http://www.westlaw.com/Link/Document/FullText?entityType=injury&amp;entityId=Ic2803a65475411db9765f9243f53508a&amp;originationContext=document&amp;transitionType=DocumentItem&amp;contextData=(sc.Default)&amp;vr=3.0&amp;rs=cblt1.0" TargetMode="External"/><Relationship Id="rId138"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139" Type="http://schemas.openxmlformats.org/officeDocument/2006/relationships/hyperlink" Target="http://www.westlaw.com/Link/Document/FullText?entityType=injury&amp;entityId=Ib29e10dc475411db9765f9243f53508a&amp;originationContext=document&amp;transitionType=DocumentItem&amp;contextData=(sc.Default)&amp;vr=3.0&amp;rs=cblt1.0" TargetMode="External"/><Relationship Id="rId360" Type="http://schemas.openxmlformats.org/officeDocument/2006/relationships/hyperlink" Target="http://www.westlaw.com/Link/Document/FullText?findType=Y&amp;serNum=1982119203&amp;pubNum=0000708&amp;originatingDoc=I1a2ed5c00f6511e79c1dcfeada4fe8e0&amp;refType=RP&amp;originationContext=document&amp;vr=3.0&amp;rs=cblt1.0&amp;transitionType=DocumentItem&amp;contextData=(sc.UserEnteredCitation)" TargetMode="External"/><Relationship Id="rId361" Type="http://schemas.openxmlformats.org/officeDocument/2006/relationships/hyperlink" Target="http://www.westlaw.com/Link/Document/FullText?findType=Y&amp;serNum=2008372440&amp;pubNum=0000506&amp;originatingDoc=I1a2ed5c00f6511e79c1dcfeada4fe8e0&amp;refType=RP&amp;fi=co_pp_sp_506_405&amp;originationContext=document&amp;vr=3.0&amp;rs=cblt1.0&amp;transitionType=DocumentItem&amp;contextData=(sc.UserEnteredCitation)#co_pp_sp_506_405" TargetMode="External"/><Relationship Id="rId362" Type="http://schemas.openxmlformats.org/officeDocument/2006/relationships/hyperlink" Target="http://www.westlaw.com/Link/Document/FullText?findType=Y&amp;serNum=1996235500&amp;pubNum=0000506&amp;originatingDoc=I1a2ed5c00f6511e79c1dcfeada4fe8e0&amp;refType=RP&amp;fi=co_pp_sp_506_125&amp;originationContext=document&amp;vr=3.0&amp;rs=cblt1.0&amp;transitionType=DocumentItem&amp;contextData=(sc.UserEnteredCitation)#co_pp_sp_506_125" TargetMode="External"/><Relationship Id="rId363" Type="http://schemas.openxmlformats.org/officeDocument/2006/relationships/hyperlink" Target="http://www.westlaw.com/Link/Document/FullText?findType=Y&amp;serNum=2018265400&amp;pubNum=0004637&amp;originatingDoc=I1a2ed5c00f6511e79c1dcfeada4fe8e0&amp;refType=RP&amp;originationContext=document&amp;vr=3.0&amp;rs=cblt1.0&amp;transitionType=DocumentItem&amp;contextData=(sc.UserEnteredCitation)" TargetMode="External"/><Relationship Id="rId364" Type="http://schemas.openxmlformats.org/officeDocument/2006/relationships/hyperlink" Target="http://www.westlaw.com/Link/Document/FullText?findType=Y&amp;serNum=1982119203&amp;pubNum=0000708&amp;originatingDoc=I1a2ed5c00f6511e79c1dcfeada4fe8e0&amp;refType=RP&amp;originationContext=document&amp;vr=3.0&amp;rs=cblt1.0&amp;transitionType=DocumentItem&amp;contextData=(sc.UserEnteredCitation)" TargetMode="External"/><Relationship Id="rId365" Type="http://schemas.openxmlformats.org/officeDocument/2006/relationships/hyperlink" Target="http://www.westlaw.com/Link/Document/FullText?findType=Y&amp;serNum=2018265400&amp;pubNum=0004637&amp;originatingDoc=I1a2ed5c00f6511e79c1dcfeada4fe8e0&amp;refType=RP&amp;originationContext=document&amp;vr=3.0&amp;rs=cblt1.0&amp;transitionType=DocumentItem&amp;contextData=(sc.UserEnteredCitation)" TargetMode="External"/><Relationship Id="rId366" Type="http://schemas.openxmlformats.org/officeDocument/2006/relationships/hyperlink" Target="http://www.westlaw.com/Link/Document/FullText?findType=Y&amp;serNum=1996098750&amp;pubNum=0000708&amp;originatingDoc=I1a2ed5c00f6511e79c1dcfeada4fe8e0&amp;refType=RP&amp;originationContext=document&amp;vr=3.0&amp;rs=cblt1.0&amp;transitionType=DocumentItem&amp;contextData=(sc.UserEnteredCitation)" TargetMode="External"/><Relationship Id="rId367" Type="http://schemas.openxmlformats.org/officeDocument/2006/relationships/hyperlink" Target="http://www.westlaw.com/Link/Document/FullText?findType=Y&amp;serNum=1996098750&amp;pubNum=0000780&amp;originatingDoc=I1a2ed5c00f6511e79c1dcfeada4fe8e0&amp;refType=RP&amp;originationContext=document&amp;vr=3.0&amp;rs=cblt1.0&amp;transitionType=DocumentItem&amp;contextData=(sc.UserEnteredCitation)" TargetMode="External"/><Relationship Id="rId368" Type="http://schemas.openxmlformats.org/officeDocument/2006/relationships/hyperlink" Target="http://www.westlaw.com/Link/Document/FullText?findType=Y&amp;serNum=1985158621&amp;pubNum=0000708&amp;originatingDoc=I1a2ed5c00f6511e79c1dcfeada4fe8e0&amp;refType=RP&amp;originationContext=document&amp;vr=3.0&amp;rs=cblt1.0&amp;transitionType=DocumentItem&amp;contextData=(sc.UserEnteredCitation)" TargetMode="External"/><Relationship Id="rId369" Type="http://schemas.openxmlformats.org/officeDocument/2006/relationships/hyperlink" Target="http://www.westlaw.com/Link/Document/FullText?findType=Y&amp;serNum=1996098750&amp;pubNum=0000708&amp;originatingDoc=I1a2ed5c00f6511e79c1dcfeada4fe8e0&amp;refType=RP&amp;originationContext=document&amp;vr=3.0&amp;rs=cblt1.0&amp;transitionType=DocumentItem&amp;contextData=(sc.UserEnteredCitation)" TargetMode="External"/><Relationship Id="rId420"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421"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422"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423" Type="http://schemas.openxmlformats.org/officeDocument/2006/relationships/hyperlink" Target="http://www.westlaw.com/Link/Document/FullText?entityType=injury&amp;entityId=Ib29e10dc475411db9765f9243f53508a&amp;originationContext=document&amp;transitionType=DocumentItem&amp;contextData=(sc.Default)&amp;vr=3.0&amp;rs=cblt1.0" TargetMode="External"/><Relationship Id="rId424" Type="http://schemas.openxmlformats.org/officeDocument/2006/relationships/hyperlink" Target="http://www.westlaw.com/Link/Document/FullText?entityType=disease&amp;entityId=Ic46e7640475411db9765f9243f53508a&amp;originationContext=document&amp;transitionType=DocumentItem&amp;contextData=(sc.Default)&amp;vr=3.0&amp;rs=cblt1.0" TargetMode="External"/><Relationship Id="rId425" Type="http://schemas.openxmlformats.org/officeDocument/2006/relationships/hyperlink" Target="http://www.westlaw.com/Link/Document/FullText?entityType=injury&amp;entityId=Ic686cea7475411db9765f9243f53508a&amp;originationContext=document&amp;transitionType=DocumentItem&amp;contextData=(sc.Default)&amp;vr=3.0&amp;rs=cblt1.0" TargetMode="External"/><Relationship Id="rId426"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427" Type="http://schemas.openxmlformats.org/officeDocument/2006/relationships/hyperlink" Target="http://www.westlaw.com/Link/Document/FullText?findType=l&amp;pubNum=0001037&amp;cite=UUID(I878D1290703511DDB4DAFB5D12E85405)&amp;originatingDoc=I1a2ed5c00f6511e79c1dcfeada4fe8e0&amp;refType=CP&amp;fi=co_pp_sp_1037_49604&amp;originationContext=document&amp;vr=3.0&amp;rs=cblt1.0&amp;transitionType=DocumentItem&amp;contextData=(sc.UserEnteredCitation)#co_pp_sp_1037_49604" TargetMode="External"/><Relationship Id="rId428" Type="http://schemas.openxmlformats.org/officeDocument/2006/relationships/hyperlink" Target="http://www.westlaw.com/Link/Document/FullText?findType=L&amp;pubNum=1000547&amp;cite=21CFRS201.57&amp;originatingDoc=I1a2ed5c00f6511e79c1dcfeada4fe8e0&amp;refType=LQ&amp;originationContext=document&amp;vr=3.0&amp;rs=cblt1.0&amp;transitionType=DocumentItem&amp;contextData=(sc.UserEnteredCitation)" TargetMode="External"/><Relationship Id="rId429" Type="http://schemas.openxmlformats.org/officeDocument/2006/relationships/hyperlink" Target="http://www.westlaw.com/Link/Document/FullText?findType=L&amp;pubNum=1000547&amp;cite=21CFRS201.57&amp;originatingDoc=I1a2ed5c00f6511e79c1dcfeada4fe8e0&amp;refType=LQ&amp;originationContext=document&amp;vr=3.0&amp;rs=cblt1.0&amp;transitionType=DocumentItem&amp;contextData=(sc.UserEnteredCitation)" TargetMode="External"/><Relationship Id="rId140"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141" Type="http://schemas.openxmlformats.org/officeDocument/2006/relationships/hyperlink" Target="http://www.westlaw.com/Link/Document/FullText?findType=l&amp;pubNum=0001037&amp;cite=UUID(I9E523020C42611DCAC13CB979A4F4D3A)&amp;originatingDoc=I1a2ed5c00f6511e79c1dcfeada4fe8e0&amp;refType=CP&amp;fi=co_pp_sp_1037_2848&amp;originationContext=document&amp;vr=3.0&amp;rs=cblt1.0&amp;transitionType=DocumentItem&amp;contextData=(sc.UserEnteredCitation)#co_pp_sp_1037_2848" TargetMode="External"/><Relationship Id="rId142" Type="http://schemas.openxmlformats.org/officeDocument/2006/relationships/hyperlink" Target="http://www.westlaw.com/Link/Document/FullText?entityType=injury&amp;entityId=Ib29e10dc475411db9765f9243f53508a&amp;originationContext=document&amp;transitionType=DocumentItem&amp;contextData=(sc.Default)&amp;vr=3.0&amp;rs=cblt1.0" TargetMode="External"/><Relationship Id="rId143" Type="http://schemas.openxmlformats.org/officeDocument/2006/relationships/hyperlink" Target="http://www.westlaw.com/Link/Document/FullText?findType=l&amp;pubNum=0001037&amp;cite=UUID(I9E523020C42611DCAC13CB979A4F4D3A)&amp;originatingDoc=I1a2ed5c00f6511e79c1dcfeada4fe8e0&amp;refType=CP&amp;fi=co_pp_sp_1037_2848&amp;originationContext=document&amp;vr=3.0&amp;rs=cblt1.0&amp;transitionType=DocumentItem&amp;contextData=(sc.UserEnteredCitation)#co_pp_sp_1037_2848" TargetMode="External"/><Relationship Id="rId144" Type="http://schemas.openxmlformats.org/officeDocument/2006/relationships/hyperlink" Target="http://www.westlaw.com/Link/Document/FullText?entityType=injury&amp;entityId=Ic686cea7475411db9765f9243f53508a&amp;originationContext=document&amp;transitionType=DocumentItem&amp;contextData=(sc.Default)&amp;vr=3.0&amp;rs=cblt1.0" TargetMode="External"/><Relationship Id="rId145" Type="http://schemas.openxmlformats.org/officeDocument/2006/relationships/hyperlink" Target="http://www.westlaw.com/Link/Document/FullText?entityType=injury&amp;entityId=Ic686cea7475411db9765f9243f53508a&amp;originationContext=document&amp;transitionType=DocumentItem&amp;contextData=(sc.Default)&amp;vr=3.0&amp;rs=cblt1.0" TargetMode="External"/><Relationship Id="rId146"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147"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148" Type="http://schemas.openxmlformats.org/officeDocument/2006/relationships/hyperlink" Target="http://www.westlaw.com/Link/Document/FullText?entityType=injury&amp;entityId=Ic686cea7475411db9765f9243f53508a&amp;originationContext=document&amp;transitionType=DocumentItem&amp;contextData=(sc.Default)&amp;vr=3.0&amp;rs=cblt1.0" TargetMode="External"/><Relationship Id="rId149"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200"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201" Type="http://schemas.openxmlformats.org/officeDocument/2006/relationships/hyperlink" Target="http://www.westlaw.com/Link/Document/FullText?findType=Y&amp;serNum=2030897073&amp;pubNum=0004637&amp;originatingDoc=I1a2ed5c00f6511e79c1dcfeada4fe8e0&amp;refType=RP&amp;originationContext=document&amp;vr=3.0&amp;rs=cblt1.0&amp;transitionType=DocumentItem&amp;contextData=(sc.UserEnteredCitation)" TargetMode="External"/><Relationship Id="rId202" Type="http://schemas.openxmlformats.org/officeDocument/2006/relationships/hyperlink" Target="http://www.westlaw.com/Link/Document/FullText?findType=Y&amp;serNum=2030897073&amp;pubNum=0004637&amp;originatingDoc=I1a2ed5c00f6511e79c1dcfeada4fe8e0&amp;refType=RP&amp;originationContext=document&amp;vr=3.0&amp;rs=cblt1.0&amp;transitionType=DocumentItem&amp;contextData=(sc.UserEnteredCitation)" TargetMode="External"/><Relationship Id="rId203"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204" Type="http://schemas.openxmlformats.org/officeDocument/2006/relationships/hyperlink" Target="http://www.westlaw.com/Link/Document/FullText?findType=Y&amp;serNum=2030897073&amp;pubNum=0004637&amp;originatingDoc=I1a2ed5c00f6511e79c1dcfeada4fe8e0&amp;refType=RP&amp;originationContext=document&amp;vr=3.0&amp;rs=cblt1.0&amp;transitionType=DocumentItem&amp;contextData=(sc.UserEnteredCitation)" TargetMode="External"/><Relationship Id="rId205"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206"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207" Type="http://schemas.openxmlformats.org/officeDocument/2006/relationships/hyperlink" Target="http://www.westlaw.com/Link/Document/FullText?findType=Y&amp;serNum=2032988145&amp;originatingDoc=I1a2ed5c00f6511e79c1dcfeada4fe8e0&amp;refType=RP&amp;originationContext=document&amp;vr=3.0&amp;rs=cblt1.0&amp;transitionType=DocumentItem&amp;contextData=(sc.UserEnteredCitation)" TargetMode="External"/><Relationship Id="rId208" Type="http://schemas.openxmlformats.org/officeDocument/2006/relationships/hyperlink" Target="http://www.westlaw.com/Link/Document/FullText?findType=Y&amp;serNum=2030897073&amp;pubNum=0004637&amp;originatingDoc=I1a2ed5c00f6511e79c1dcfeada4fe8e0&amp;refType=RP&amp;fi=co_pp_sp_4637_703&amp;originationContext=document&amp;vr=3.0&amp;rs=cblt1.0&amp;transitionType=DocumentItem&amp;contextData=(sc.UserEnteredCitation)#co_pp_sp_4637_703" TargetMode="External"/><Relationship Id="rId209" Type="http://schemas.openxmlformats.org/officeDocument/2006/relationships/hyperlink" Target="http://www.westlaw.com/Link/Document/FullText?findType=Y&amp;serNum=2032988145&amp;pubNum=0004637&amp;originatingDoc=I1a2ed5c00f6511e79c1dcfeada4fe8e0&amp;refType=RP&amp;originationContext=document&amp;vr=3.0&amp;rs=cblt1.0&amp;transitionType=DocumentItem&amp;contextData=(sc.UserEnteredCitation)" TargetMode="External"/><Relationship Id="rId370" Type="http://schemas.openxmlformats.org/officeDocument/2006/relationships/hyperlink" Target="http://www.westlaw.com/Link/Document/FullText?findType=Y&amp;serNum=1996098750&amp;pubNum=0000708&amp;originatingDoc=I1a2ed5c00f6511e79c1dcfeada4fe8e0&amp;refType=RP&amp;fi=co_pp_sp_708_372&amp;originationContext=document&amp;vr=3.0&amp;rs=cblt1.0&amp;transitionType=DocumentItem&amp;contextData=(sc.UserEnteredCitation)#co_pp_sp_708_372" TargetMode="External"/><Relationship Id="rId371" Type="http://schemas.openxmlformats.org/officeDocument/2006/relationships/hyperlink" Target="http://www.westlaw.com/Link/Document/FullText?findType=Y&amp;serNum=1996098750&amp;pubNum=0000708&amp;originatingDoc=I1a2ed5c00f6511e79c1dcfeada4fe8e0&amp;refType=RP&amp;fi=co_pp_sp_708_388&amp;originationContext=document&amp;vr=3.0&amp;rs=cblt1.0&amp;transitionType=DocumentItem&amp;contextData=(sc.UserEnteredCitation)#co_pp_sp_708_388" TargetMode="External"/><Relationship Id="rId372" Type="http://schemas.openxmlformats.org/officeDocument/2006/relationships/hyperlink" Target="http://www.westlaw.com/Link/Document/FullText?findType=L&amp;pubNum=1000547&amp;cite=21CFRS201.57&amp;originatingDoc=I1a2ed5c00f6511e79c1dcfeada4fe8e0&amp;refType=LQ&amp;originationContext=document&amp;vr=3.0&amp;rs=cblt1.0&amp;transitionType=DocumentItem&amp;contextData=(sc.UserEnteredCitation)" TargetMode="External"/><Relationship Id="rId373" Type="http://schemas.openxmlformats.org/officeDocument/2006/relationships/hyperlink" Target="http://www.westlaw.com/Link/Document/FullText?findType=l&amp;pubNum=0001037&amp;cite=UUID(I878D1290703511DDB4DAFB5D12E85405)&amp;originatingDoc=I1a2ed5c00f6511e79c1dcfeada4fe8e0&amp;refType=CP&amp;fi=co_pp_sp_1037_49603&amp;originationContext=document&amp;vr=3.0&amp;rs=cblt1.0&amp;transitionType=DocumentItem&amp;contextData=(sc.UserEnteredCitation)#co_pp_sp_1037_49603" TargetMode="External"/><Relationship Id="rId374" Type="http://schemas.openxmlformats.org/officeDocument/2006/relationships/hyperlink" Target="http://www.westlaw.com/Link/Document/FullText?findType=Y&amp;serNum=2018265400&amp;pubNum=0004637&amp;originatingDoc=I1a2ed5c00f6511e79c1dcfeada4fe8e0&amp;refType=RP&amp;originationContext=document&amp;vr=3.0&amp;rs=cblt1.0&amp;transitionType=DocumentItem&amp;contextData=(sc.UserEnteredCitation)" TargetMode="External"/><Relationship Id="rId375" Type="http://schemas.openxmlformats.org/officeDocument/2006/relationships/hyperlink" Target="http://www.westlaw.com/Link/Document/FullText?findType=Y&amp;serNum=2018265400&amp;pubNum=0004637&amp;originatingDoc=I1a2ed5c00f6511e79c1dcfeada4fe8e0&amp;refType=RP&amp;originationContext=document&amp;vr=3.0&amp;rs=cblt1.0&amp;transitionType=DocumentItem&amp;contextData=(sc.UserEnteredCitation)" TargetMode="External"/><Relationship Id="rId376" Type="http://schemas.openxmlformats.org/officeDocument/2006/relationships/hyperlink" Target="http://www.westlaw.com/Link/Document/FullText?findType=L&amp;pubNum=1000547&amp;cite=21CFRS314.110&amp;originatingDoc=I1a2ed5c00f6511e79c1dcfeada4fe8e0&amp;refType=LQ&amp;originationContext=document&amp;vr=3.0&amp;rs=cblt1.0&amp;transitionType=DocumentItem&amp;contextData=(sc.UserEnteredCitation)" TargetMode="External"/><Relationship Id="rId377"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378"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379" Type="http://schemas.openxmlformats.org/officeDocument/2006/relationships/hyperlink" Target="http://www.westlaw.com/Link/Document/FullText?findType=L&amp;pubNum=1000547&amp;cite=21CFRS314.110&amp;originatingDoc=I1a2ed5c00f6511e79c1dcfeada4fe8e0&amp;refType=LQ&amp;originationContext=document&amp;vr=3.0&amp;rs=cblt1.0&amp;transitionType=DocumentItem&amp;contextData=(sc.UserEnteredCitation)" TargetMode="External"/><Relationship Id="rId430"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431" Type="http://schemas.openxmlformats.org/officeDocument/2006/relationships/hyperlink" Target="http://www.westlaw.com/Link/Document/FullText?entityType=injury&amp;entityId=Ib29e10dc475411db9765f9243f53508a&amp;originationContext=document&amp;transitionType=DocumentItem&amp;contextData=(sc.Default)&amp;vr=3.0&amp;rs=cblt1.0" TargetMode="External"/><Relationship Id="rId432" Type="http://schemas.openxmlformats.org/officeDocument/2006/relationships/hyperlink" Target="http://www.westlaw.com/Link/Document/FullText?entityType=injury&amp;entityId=Ib29e10dc475411db9765f9243f53508a&amp;originationContext=document&amp;transitionType=DocumentItem&amp;contextData=(sc.Default)&amp;vr=3.0&amp;rs=cblt1.0" TargetMode="External"/><Relationship Id="rId433"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434"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435"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436"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437" Type="http://schemas.openxmlformats.org/officeDocument/2006/relationships/hyperlink" Target="http://www.westlaw.com/Link/Document/FullText?entityType=injury&amp;entityId=Ib29e10dc475411db9765f9243f53508a&amp;originationContext=document&amp;transitionType=DocumentItem&amp;contextData=(sc.Default)&amp;vr=3.0&amp;rs=cblt1.0" TargetMode="External"/><Relationship Id="rId438"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439" Type="http://schemas.openxmlformats.org/officeDocument/2006/relationships/hyperlink" Target="http://www.westlaw.com/Link/Document/FullText?entityType=injury&amp;entityId=Ic6518e5f475411db9765f9243f53508a&amp;originationContext=document&amp;transitionType=DocumentItem&amp;contextData=(sc.Default)&amp;vr=3.0&amp;rs=cblt1.0" TargetMode="External"/><Relationship Id="rId150"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151" Type="http://schemas.openxmlformats.org/officeDocument/2006/relationships/hyperlink" Target="http://www.westlaw.com/Link/Document/FullText?entityType=injury&amp;entityId=Ib29e10dc475411db9765f9243f53508a&amp;originationContext=document&amp;transitionType=DocumentItem&amp;contextData=(sc.Default)&amp;vr=3.0&amp;rs=cblt1.0" TargetMode="External"/><Relationship Id="rId152"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153"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154" Type="http://schemas.openxmlformats.org/officeDocument/2006/relationships/hyperlink" Target="http://www.westlaw.com/Link/Document/FullText?entityType=injury&amp;entityId=Ic686cea7475411db9765f9243f53508a&amp;originationContext=document&amp;transitionType=DocumentItem&amp;contextData=(sc.Default)&amp;vr=3.0&amp;rs=cblt1.0" TargetMode="External"/><Relationship Id="rId155" Type="http://schemas.openxmlformats.org/officeDocument/2006/relationships/hyperlink" Target="http://www.westlaw.com/Link/Document/FullText?entityType=injury&amp;entityId=Ic2803a65475411db9765f9243f53508a&amp;originationContext=document&amp;transitionType=DocumentItem&amp;contextData=(sc.Default)&amp;vr=3.0&amp;rs=cblt1.0" TargetMode="External"/><Relationship Id="rId156" Type="http://schemas.openxmlformats.org/officeDocument/2006/relationships/hyperlink" Target="http://www.westlaw.com/Link/Document/FullText?findType=l&amp;pubNum=0001037&amp;cite=UUID(I9E523020C42611DCAC13CB979A4F4D3A)&amp;originatingDoc=I1a2ed5c00f6511e79c1dcfeada4fe8e0&amp;refType=CP&amp;fi=co_pp_sp_1037_2848&amp;originationContext=document&amp;vr=3.0&amp;rs=cblt1.0&amp;transitionType=DocumentItem&amp;contextData=(sc.UserEnteredCitation)#co_pp_sp_1037_2848" TargetMode="External"/><Relationship Id="rId157" Type="http://schemas.openxmlformats.org/officeDocument/2006/relationships/hyperlink" Target="http://www.westlaw.com/Link/Document/FullText?entityType=injury&amp;entityId=Ib29e10dc475411db9765f9243f53508a&amp;originationContext=document&amp;transitionType=DocumentItem&amp;contextData=(sc.Default)&amp;vr=3.0&amp;rs=cblt1.0" TargetMode="External"/><Relationship Id="rId158" Type="http://schemas.openxmlformats.org/officeDocument/2006/relationships/hyperlink" Target="http://www.westlaw.com/Link/Document/FullText?entityType=disease&amp;entityId=Ic46e7640475411db9765f9243f53508a&amp;originationContext=document&amp;transitionType=DocumentItem&amp;contextData=(sc.Default)&amp;vr=3.0&amp;rs=cblt1.0" TargetMode="External"/><Relationship Id="rId159" Type="http://schemas.openxmlformats.org/officeDocument/2006/relationships/hyperlink" Target="http://www.westlaw.com/Link/Document/FullText?findType=l&amp;pubNum=0001037&amp;cite=UUID(I9E523020C42611DCAC13CB979A4F4D3A)&amp;originatingDoc=I1a2ed5c00f6511e79c1dcfeada4fe8e0&amp;refType=CP&amp;fi=co_pp_sp_1037_2848&amp;originationContext=document&amp;vr=3.0&amp;rs=cblt1.0&amp;transitionType=DocumentItem&amp;contextData=(sc.UserEnteredCitation)#co_pp_sp_1037_2848" TargetMode="External"/><Relationship Id="rId210" Type="http://schemas.openxmlformats.org/officeDocument/2006/relationships/hyperlink" Target="http://www.westlaw.com/Link/Document/FullText?findType=Y&amp;serNum=2032988145&amp;originatingDoc=I1a2ed5c00f6511e79c1dcfeada4fe8e0&amp;refType=RP&amp;originationContext=document&amp;vr=3.0&amp;rs=cblt1.0&amp;transitionType=DocumentItem&amp;contextData=(sc.UserEnteredCitation)" TargetMode="External"/><Relationship Id="rId211" Type="http://schemas.openxmlformats.org/officeDocument/2006/relationships/hyperlink" Target="http://www.westlaw.com/Link/Document/FullText?findType=Y&amp;serNum=2032988145&amp;originatingDoc=I1a2ed5c00f6511e79c1dcfeada4fe8e0&amp;refType=RP&amp;originationContext=document&amp;vr=3.0&amp;rs=cblt1.0&amp;transitionType=DocumentItem&amp;contextData=(sc.UserEnteredCitation)" TargetMode="External"/><Relationship Id="rId212" Type="http://schemas.openxmlformats.org/officeDocument/2006/relationships/hyperlink" Target="http://www.westlaw.com/Link/Document/FullText?findType=Y&amp;serNum=2032988145&amp;originatingDoc=I1a2ed5c00f6511e79c1dcfeada4fe8e0&amp;refType=RP&amp;originationContext=document&amp;vr=3.0&amp;rs=cblt1.0&amp;transitionType=DocumentItem&amp;contextData=(sc.UserEnteredCitation)" TargetMode="External"/><Relationship Id="rId213"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214"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215"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216" Type="http://schemas.openxmlformats.org/officeDocument/2006/relationships/hyperlink" Target="http://www.westlaw.com/Link/Document/FullText?findType=Y&amp;serNum=2018265400&amp;pubNum=0000708&amp;originatingDoc=I1a2ed5c00f6511e79c1dcfeada4fe8e0&amp;refType=RP&amp;originationContext=document&amp;vr=3.0&amp;rs=cblt1.0&amp;transitionType=DocumentItem&amp;contextData=(sc.UserEnteredCitation)" TargetMode="External"/><Relationship Id="rId217" Type="http://schemas.openxmlformats.org/officeDocument/2006/relationships/hyperlink" Target="#co_anchor_F12041287330_1" TargetMode="External"/><Relationship Id="rId218" Type="http://schemas.openxmlformats.org/officeDocument/2006/relationships/hyperlink" Target="#co_anchor_F22041287330_1" TargetMode="External"/><Relationship Id="rId219" Type="http://schemas.openxmlformats.org/officeDocument/2006/relationships/hyperlink" Target="#co_anchor_F32041287330_1" TargetMode="External"/><Relationship Id="rId380" Type="http://schemas.openxmlformats.org/officeDocument/2006/relationships/hyperlink" Target="http://www.westlaw.com/Link/Document/FullText?findType=L&amp;pubNum=1000547&amp;cite=21CFRS314.110&amp;originatingDoc=I1a2ed5c00f6511e79c1dcfeada4fe8e0&amp;refType=LQ&amp;originationContext=document&amp;vr=3.0&amp;rs=cblt1.0&amp;transitionType=DocumentItem&amp;contextData=(sc.UserEnteredCitation)" TargetMode="External"/><Relationship Id="rId381" Type="http://schemas.openxmlformats.org/officeDocument/2006/relationships/hyperlink" Target="http://www.westlaw.com/Link/Document/FullText?findType=L&amp;pubNum=1000547&amp;cite=21CFRS314.110&amp;originatingDoc=I1a2ed5c00f6511e79c1dcfeada4fe8e0&amp;refType=LQ&amp;originationContext=document&amp;vr=3.0&amp;rs=cblt1.0&amp;transitionType=DocumentItem&amp;contextData=(sc.UserEnteredCitation)" TargetMode="External"/><Relationship Id="rId382" Type="http://schemas.openxmlformats.org/officeDocument/2006/relationships/hyperlink" Target="http://www.westlaw.com/Link/Document/FullText?findType=Y&amp;serNum=2018265400&amp;pubNum=0004637&amp;originatingDoc=I1a2ed5c00f6511e79c1dcfeada4fe8e0&amp;refType=RP&amp;originationContext=document&amp;vr=3.0&amp;rs=cblt1.0&amp;transitionType=DocumentItem&amp;contextData=(sc.UserEnteredCitation)" TargetMode="External"/><Relationship Id="rId383" Type="http://schemas.openxmlformats.org/officeDocument/2006/relationships/hyperlink" Target="http://www.westlaw.com/Link/Document/FullText?findType=Y&amp;serNum=2018265400&amp;pubNum=0004637&amp;originatingDoc=I1a2ed5c00f6511e79c1dcfeada4fe8e0&amp;refType=RP&amp;originationContext=document&amp;vr=3.0&amp;rs=cblt1.0&amp;transitionType=DocumentItem&amp;contextData=(sc.UserEnteredCitation)" TargetMode="External"/><Relationship Id="rId384" Type="http://schemas.openxmlformats.org/officeDocument/2006/relationships/hyperlink" Target="http://www.westlaw.com/Link/Document/FullText?findType=Y&amp;serNum=2018265400&amp;pubNum=0004637&amp;originatingDoc=I1a2ed5c00f6511e79c1dcfeada4fe8e0&amp;refType=RP&amp;originationContext=document&amp;vr=3.0&amp;rs=cblt1.0&amp;transitionType=DocumentItem&amp;contextData=(sc.UserEnteredCitation)" TargetMode="External"/><Relationship Id="rId385" Type="http://schemas.openxmlformats.org/officeDocument/2006/relationships/hyperlink" Target="http://www.westlaw.com/Link/Document/FullText?findType=Y&amp;serNum=2018265400&amp;pubNum=0004637&amp;originatingDoc=I1a2ed5c00f6511e79c1dcfeada4fe8e0&amp;refType=RP&amp;originationContext=document&amp;vr=3.0&amp;rs=cblt1.0&amp;transitionType=DocumentItem&amp;contextData=(sc.UserEnteredCitation)" TargetMode="External"/><Relationship Id="rId386" Type="http://schemas.openxmlformats.org/officeDocument/2006/relationships/hyperlink" Target="http://www.westlaw.com/Link/Document/FullText?findType=L&amp;pubNum=1000546&amp;cite=28USCAS1332&amp;originatingDoc=I1a2ed5c00f6511e79c1dcfeada4fe8e0&amp;refType=LQ&amp;originationContext=document&amp;vr=3.0&amp;rs=cblt1.0&amp;transitionType=DocumentItem&amp;contextData=(sc.UserEnteredCitation)" TargetMode="External"/><Relationship Id="rId387" Type="http://schemas.openxmlformats.org/officeDocument/2006/relationships/hyperlink" Target="http://www.westlaw.com/Link/Document/FullText?findType=L&amp;pubNum=1000546&amp;cite=28USCAS1291&amp;originatingDoc=I1a2ed5c00f6511e79c1dcfeada4fe8e0&amp;refType=LQ&amp;originationContext=document&amp;vr=3.0&amp;rs=cblt1.0&amp;transitionType=DocumentItem&amp;contextData=(sc.UserEnteredCitation)" TargetMode="External"/><Relationship Id="rId388"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389"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440" Type="http://schemas.openxmlformats.org/officeDocument/2006/relationships/hyperlink" Target="http://www.westlaw.com/Link/Document/FullText?entityType=injury&amp;entityId=Ib29e10dc475411db9765f9243f53508a&amp;originationContext=document&amp;transitionType=DocumentItem&amp;contextData=(sc.Default)&amp;vr=3.0&amp;rs=cblt1.0" TargetMode="External"/><Relationship Id="rId441"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442"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443"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444" Type="http://schemas.openxmlformats.org/officeDocument/2006/relationships/hyperlink" Target="http://www.westlaw.com/Link/Document/FullText?entityType=injury&amp;entityId=Ic2803a65475411db9765f9243f53508a&amp;originationContext=document&amp;transitionType=DocumentItem&amp;contextData=(sc.Default)&amp;vr=3.0&amp;rs=cblt1.0" TargetMode="External"/><Relationship Id="rId445"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446" Type="http://schemas.openxmlformats.org/officeDocument/2006/relationships/hyperlink" Target="http://www.westlaw.com/Link/Document/FullText?entityType=injury&amp;entityId=I777c69a4995711de9b8c850332338889&amp;originationContext=document&amp;transitionType=DocumentItem&amp;contextData=(sc.Default)&amp;vr=3.0&amp;rs=cblt1.0" TargetMode="External"/><Relationship Id="rId447"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448"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449"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500" Type="http://schemas.openxmlformats.org/officeDocument/2006/relationships/hyperlink" Target="http://www.westlaw.com/Link/Document/Blob/I49a59d50136311e7b193010000000000.png?originationContext=document&amp;vr=3.0&amp;rs=cblt1.0&amp;transitionType=DocumentImage&amp;contextData=(sc.UserEnteredCitation)" TargetMode="External"/><Relationship Id="rId501" Type="http://schemas.openxmlformats.org/officeDocument/2006/relationships/image" Target="media/image3.png"/><Relationship Id="rId502" Type="http://schemas.openxmlformats.org/officeDocument/2006/relationships/hyperlink" Target="http://www.westlaw.com/Link/Document/Blob/I49a59d50136311e7b193010000000000.png?originationContext=document&amp;vr=3.0&amp;rs=cblt1.0&amp;transitionType=DocumentImage&amp;contextData=(sc.UserEnteredCitation)" TargetMode="External"/><Relationship Id="rId10" Type="http://schemas.openxmlformats.org/officeDocument/2006/relationships/hyperlink" Target="https://1.next.westlaw.com/Link/RelatedInformation/Flag?documentGuid=I1a2ed5c00f6511e79c1dcfeada4fe8e0&amp;transitionType=Document&amp;originationContext=docHeaderFlag&amp;contextData=(sc.UserEnteredCitation)" TargetMode="External"/><Relationship Id="rId11" Type="http://schemas.openxmlformats.org/officeDocument/2006/relationships/image" Target="media/image2.png"/><Relationship Id="rId12" Type="http://schemas.openxmlformats.org/officeDocument/2006/relationships/hyperlink" Target="https://1.next.westlaw.com/Document/I4d3fe8202f5c11e79de0d9b9354e8e59/View/FullText.html?navigationPath=RelatedInfo%2Fv4%2Fkeycite%2Fnav%2F%3Fguid%3DI4d3fe8202f5c11e79de0d9b9354e8e59%26ss%3D2041287330%26ds%3D2041551648&amp;listSource=RelatedInfo&amp;list=NegativeCitingReferences&amp;rank=0&amp;originationContext=docHeader&amp;transitionType=NegativeTreatment&amp;contextData=%28sc.UserEnteredCitation%29" TargetMode="External"/><Relationship Id="rId13" Type="http://schemas.openxmlformats.org/officeDocument/2006/relationships/hyperlink" Target="http://www.westlaw.com/Link/Document/FullText?findType=h&amp;pubNum=176284&amp;cite=0176104301&amp;originatingDoc=I1a2ed5c00f6511e79c1dcfeada4fe8e0&amp;refType=RQ&amp;originationContext=document&amp;vr=3.0&amp;rs=cblt1.0&amp;transitionType=DocumentItem&amp;contextData=(sc.UserEnteredCitation)" TargetMode="External"/><Relationship Id="rId14" Type="http://schemas.openxmlformats.org/officeDocument/2006/relationships/hyperlink" Target="http://www.westlaw.com/Link/Document/FullText?findType=Y&amp;serNum=2032988145&amp;pubNum=0000999&amp;originatingDoc=I1a2ed5c00f6511e79c1dcfeada4fe8e0&amp;refType=RP&amp;originationContext=document&amp;vr=3.0&amp;rs=cblt1.0&amp;transitionType=DocumentItem&amp;contextData=(sc.UserEnteredCitation)" TargetMode="External"/><Relationship Id="rId15" Type="http://schemas.openxmlformats.org/officeDocument/2006/relationships/hyperlink" Target="http://www.westlaw.com/Link/Document/FullText?findType=h&amp;pubNum=176284&amp;cite=0152999801&amp;originatingDoc=I1a2ed5c00f6511e79c1dcfeada4fe8e0&amp;refType=RQ&amp;originationContext=document&amp;vr=3.0&amp;rs=cblt1.0&amp;transitionType=DocumentItem&amp;contextData=(sc.UserEnteredCitation)" TargetMode="External"/><Relationship Id="rId16" Type="http://schemas.openxmlformats.org/officeDocument/2006/relationships/hyperlink" Target="#co_anchor_F72041287330_1" TargetMode="External"/><Relationship Id="rId17" Type="http://schemas.openxmlformats.org/officeDocument/2006/relationships/hyperlink" Target="#co_anchor_F82041287330_1" TargetMode="External"/><Relationship Id="rId18" Type="http://schemas.openxmlformats.org/officeDocument/2006/relationships/hyperlink" Target="#co_anchor_F152041287330_1" TargetMode="External"/><Relationship Id="rId19" Type="http://schemas.openxmlformats.org/officeDocument/2006/relationships/hyperlink" Target="http://www.westlaw.com/Link/Document/FullText?findType=h&amp;pubNum=176284&amp;cite=0137639601&amp;originatingDoc=I1a2ed5c00f6511e79c1dcfeada4fe8e0&amp;refType=RQ&amp;originationContext=document&amp;vr=3.0&amp;rs=cblt1.0&amp;transitionType=DocumentItem&amp;contextData=(sc.UserEnteredCitation)" TargetMode="External"/><Relationship Id="rId503" Type="http://schemas.openxmlformats.org/officeDocument/2006/relationships/hyperlink" Target="http://www.westlaw.com/Link/Document/Blob/I499b6420136311e7b193010000000000.png?originationContext=document&amp;vr=3.0&amp;rs=cblt1.0&amp;transitionType=DocumentImage&amp;contextData=(sc.UserEnteredCitation)" TargetMode="External"/><Relationship Id="rId504" Type="http://schemas.openxmlformats.org/officeDocument/2006/relationships/image" Target="media/image4.png"/><Relationship Id="rId505" Type="http://schemas.openxmlformats.org/officeDocument/2006/relationships/hyperlink" Target="http://www.westlaw.com/Link/Document/Blob/I499b6420136311e7b193010000000000.png?originationContext=document&amp;vr=3.0&amp;rs=cblt1.0&amp;transitionType=DocumentImage&amp;contextData=(sc.UserEnteredCitation)" TargetMode="External"/><Relationship Id="rId506" Type="http://schemas.openxmlformats.org/officeDocument/2006/relationships/hyperlink" Target="http://www.westlaw.com/Link/Document/Blob/I49b3f530136311e7b193010000000000.png?originationContext=document&amp;vr=3.0&amp;rs=cblt1.0&amp;transitionType=DocumentImage&amp;contextData=(sc.UserEnteredCitation)" TargetMode="External"/><Relationship Id="rId507" Type="http://schemas.openxmlformats.org/officeDocument/2006/relationships/image" Target="media/image5.png"/><Relationship Id="rId508" Type="http://schemas.openxmlformats.org/officeDocument/2006/relationships/hyperlink" Target="http://www.westlaw.com/Link/Document/Blob/I49b3f530136311e7b193010000000000.png?originationContext=document&amp;vr=3.0&amp;rs=cblt1.0&amp;transitionType=DocumentImage&amp;contextData=(sc.UserEnteredCitation)" TargetMode="External"/><Relationship Id="rId509" Type="http://schemas.openxmlformats.org/officeDocument/2006/relationships/hyperlink" Target="http://www.westlaw.com/Link/Document/Blob/I49963400136311e7b193010000000000.png?originationContext=document&amp;vr=3.0&amp;rs=cblt1.0&amp;transitionType=DocumentImage&amp;contextData=(sc.UserEnteredCitation)" TargetMode="External"/><Relationship Id="rId160" Type="http://schemas.openxmlformats.org/officeDocument/2006/relationships/hyperlink" Target="http://www.westlaw.com/Link/Document/FullText?findType=l&amp;pubNum=0001037&amp;cite=UUID(I9E523020C42611DCAC13CB979A4F4D3A)&amp;originatingDoc=I1a2ed5c00f6511e79c1dcfeada4fe8e0&amp;refType=CP&amp;fi=co_pp_sp_1037_2848&amp;originationContext=document&amp;vr=3.0&amp;rs=cblt1.0&amp;transitionType=DocumentItem&amp;contextData=(sc.UserEnteredCitation)#co_pp_sp_1037_2848" TargetMode="External"/><Relationship Id="rId161"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162" Type="http://schemas.openxmlformats.org/officeDocument/2006/relationships/hyperlink" Target="http://www.westlaw.com/Link/Document/FullText?entityType=injury&amp;entityId=Ib29e10dc475411db9765f9243f53508a&amp;originationContext=document&amp;transitionType=DocumentItem&amp;contextData=(sc.Default)&amp;vr=3.0&amp;rs=cblt1.0" TargetMode="External"/><Relationship Id="rId163" Type="http://schemas.openxmlformats.org/officeDocument/2006/relationships/hyperlink" Target="http://www.westlaw.com/Link/Document/FullText?entityType=injury&amp;entityId=Ic2803a65475411db9765f9243f53508a&amp;originationContext=document&amp;transitionType=DocumentItem&amp;contextData=(sc.Default)&amp;vr=3.0&amp;rs=cblt1.0" TargetMode="External"/><Relationship Id="rId164" Type="http://schemas.openxmlformats.org/officeDocument/2006/relationships/hyperlink" Target="http://www.westlaw.com/Link/Document/FullText?entityType=gdrug&amp;entityId=I3bd96ec6475111db9765f9243f53508a&amp;originationContext=document&amp;transitionType=DocumentItem&amp;contextData=(sc.Default)&amp;vr=3.0&amp;rs=cblt1.0" TargetMode="External"/><Relationship Id="rId165"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166"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167"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168"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169"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220" Type="http://schemas.openxmlformats.org/officeDocument/2006/relationships/hyperlink" Target="http://www.westlaw.com/Link/Document/FullText?findType=L&amp;pubNum=1000583&amp;cite=USCOARTVICL2&amp;originatingDoc=I1a2ed5c00f6511e79c1dcfeada4fe8e0&amp;refType=LQ&amp;originationContext=document&amp;vr=3.0&amp;rs=cblt1.0&amp;transitionType=DocumentItem&amp;contextData=(sc.UserEnteredCitation)" TargetMode="External"/><Relationship Id="rId221" Type="http://schemas.openxmlformats.org/officeDocument/2006/relationships/hyperlink" Target="http://www.westlaw.com/Link/Document/FullText?findType=Y&amp;serNum=1985127856&amp;pubNum=0000708&amp;originatingDoc=I1a2ed5c00f6511e79c1dcfeada4fe8e0&amp;refType=RP&amp;originationContext=document&amp;vr=3.0&amp;rs=cblt1.0&amp;transitionType=DocumentItem&amp;contextData=(sc.UserEnteredCitation)" TargetMode="External"/><Relationship Id="rId222" Type="http://schemas.openxmlformats.org/officeDocument/2006/relationships/hyperlink" Target="http://www.westlaw.com/Link/Document/FullText?findType=Y&amp;serNum=1800117190&amp;pubNum=0000780&amp;originatingDoc=I1a2ed5c00f6511e79c1dcfeada4fe8e0&amp;refType=RP&amp;fi=co_pp_sp_780_211&amp;originationContext=document&amp;vr=3.0&amp;rs=cblt1.0&amp;transitionType=DocumentItem&amp;contextData=(sc.UserEnteredCitation)#co_pp_sp_780_211" TargetMode="External"/><Relationship Id="rId223" Type="http://schemas.openxmlformats.org/officeDocument/2006/relationships/hyperlink" Target="http://www.westlaw.com/Link/Document/FullText?findType=Y&amp;serNum=2025536613&amp;pubNum=0000708&amp;originatingDoc=I1a2ed5c00f6511e79c1dcfeada4fe8e0&amp;refType=RP&amp;originationContext=document&amp;vr=3.0&amp;rs=cblt1.0&amp;transitionType=DocumentItem&amp;contextData=(sc.UserEnteredCitation)" TargetMode="External"/><Relationship Id="rId224" Type="http://schemas.openxmlformats.org/officeDocument/2006/relationships/hyperlink" Target="http://www.westlaw.com/Link/Document/FullText?findType=Y&amp;serNum=1995090356&amp;pubNum=0000708&amp;originatingDoc=I1a2ed5c00f6511e79c1dcfeada4fe8e0&amp;refType=RP&amp;originationContext=document&amp;vr=3.0&amp;rs=cblt1.0&amp;transitionType=DocumentItem&amp;contextData=(sc.UserEnteredCitation)" TargetMode="External"/><Relationship Id="rId225" Type="http://schemas.openxmlformats.org/officeDocument/2006/relationships/hyperlink" Target="http://www.westlaw.com/Link/Document/FullText?findType=Y&amp;serNum=2025536613&amp;pubNum=0000708&amp;originatingDoc=I1a2ed5c00f6511e79c1dcfeada4fe8e0&amp;refType=RP&amp;fi=co_pp_sp_708_620&amp;originationContext=document&amp;vr=3.0&amp;rs=cblt1.0&amp;transitionType=DocumentItem&amp;contextData=(sc.UserEnteredCitation)#co_pp_sp_708_620" TargetMode="External"/><Relationship Id="rId226" Type="http://schemas.openxmlformats.org/officeDocument/2006/relationships/hyperlink" Target="http://www.westlaw.com/Link/Document/FullText?entityType=bdrug&amp;entityId=I36ca1d48475111db9765f9243f53508a&amp;originationContext=document&amp;transitionType=DocumentItem&amp;contextData=(sc.Default)&amp;vr=3.0&amp;rs=cblt1.0" TargetMode="External"/><Relationship Id="rId227"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228"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229" Type="http://schemas.openxmlformats.org/officeDocument/2006/relationships/hyperlink" Target="http://www.westlaw.com/Link/Document/FullText?findType=Y&amp;serNum=2018265400&amp;pubNum=0000780&amp;originatingDoc=I1a2ed5c00f6511e79c1dcfeada4fe8e0&amp;refType=RP&amp;originationContext=document&amp;vr=3.0&amp;rs=cblt1.0&amp;transitionType=DocumentItem&amp;contextData=(sc.UserEnteredCitation)" TargetMode="External"/><Relationship Id="rId390" Type="http://schemas.openxmlformats.org/officeDocument/2006/relationships/hyperlink" Target="http://www.westlaw.com/Link/Document/FullText?findType=Y&amp;serNum=2018265400&amp;pubNum=0004637&amp;originatingDoc=I1a2ed5c00f6511e79c1dcfeada4fe8e0&amp;refType=RP&amp;originationContext=document&amp;vr=3.0&amp;rs=cblt1.0&amp;transitionType=DocumentItem&amp;contextData=(sc.UserEnteredCitation)" TargetMode="External"/><Relationship Id="rId391" Type="http://schemas.openxmlformats.org/officeDocument/2006/relationships/hyperlink" Target="http://www.westlaw.com/Link/Document/FullText?findType=L&amp;pubNum=1000600&amp;cite=USFRCPR56&amp;originatingDoc=I1a2ed5c00f6511e79c1dcfeada4fe8e0&amp;refType=LQ&amp;originationContext=document&amp;vr=3.0&amp;rs=cblt1.0&amp;transitionType=DocumentItem&amp;contextData=(sc.UserEnteredCitation)" TargetMode="External"/><Relationship Id="rId392" Type="http://schemas.openxmlformats.org/officeDocument/2006/relationships/hyperlink" Target="#co_anchor_F92041287330_1" TargetMode="External"/><Relationship Id="rId393" Type="http://schemas.openxmlformats.org/officeDocument/2006/relationships/hyperlink" Target="#co_anchor_F102041287330_1" TargetMode="External"/><Relationship Id="rId394" Type="http://schemas.openxmlformats.org/officeDocument/2006/relationships/hyperlink" Target="#co_anchor_F112041287330_1" TargetMode="External"/><Relationship Id="rId395" Type="http://schemas.openxmlformats.org/officeDocument/2006/relationships/hyperlink" Target="#co_anchor_F122041287330_1" TargetMode="External"/><Relationship Id="rId396" Type="http://schemas.openxmlformats.org/officeDocument/2006/relationships/hyperlink" Target="http://www.westlaw.com/Link/Document/FullText?findType=Y&amp;serNum=2022664377&amp;pubNum=0000506&amp;originatingDoc=I1a2ed5c00f6511e79c1dcfeada4fe8e0&amp;refType=RP&amp;fi=co_pp_sp_506_210&amp;originationContext=document&amp;vr=3.0&amp;rs=cblt1.0&amp;transitionType=DocumentItem&amp;contextData=(sc.UserEnteredCitation)#co_pp_sp_506_210" TargetMode="External"/><Relationship Id="rId397" Type="http://schemas.openxmlformats.org/officeDocument/2006/relationships/hyperlink" Target="http://www.westlaw.com/Link/Document/FullText?findType=L&amp;pubNum=1000600&amp;cite=USFRCPR56&amp;originatingDoc=I1a2ed5c00f6511e79c1dcfeada4fe8e0&amp;refType=LQ&amp;originationContext=document&amp;vr=3.0&amp;rs=cblt1.0&amp;transitionType=DocumentItem&amp;contextData=(sc.UserEnteredCitation)" TargetMode="External"/><Relationship Id="rId398" Type="http://schemas.openxmlformats.org/officeDocument/2006/relationships/hyperlink" Target="http://www.westlaw.com/Link/Document/FullText?findType=Y&amp;serNum=1986132674&amp;pubNum=0000708&amp;originatingDoc=I1a2ed5c00f6511e79c1dcfeada4fe8e0&amp;refType=RP&amp;originationContext=document&amp;vr=3.0&amp;rs=cblt1.0&amp;transitionType=DocumentItem&amp;contextData=(sc.UserEnteredCitation)" TargetMode="External"/><Relationship Id="rId399" Type="http://schemas.openxmlformats.org/officeDocument/2006/relationships/hyperlink" Target="http://www.westlaw.com/Link/Document/FullText?findType=Y&amp;serNum=2022664377&amp;pubNum=0000506&amp;originatingDoc=I1a2ed5c00f6511e79c1dcfeada4fe8e0&amp;refType=RP&amp;fi=co_pp_sp_506_210&amp;originationContext=document&amp;vr=3.0&amp;rs=cblt1.0&amp;transitionType=DocumentItem&amp;contextData=(sc.UserEnteredCitation)#co_pp_sp_506_210" TargetMode="External"/><Relationship Id="rId450"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451" Type="http://schemas.openxmlformats.org/officeDocument/2006/relationships/hyperlink" Target="http://www.westlaw.com/Link/Document/FullText?entityType=disease&amp;entityId=Ib159d168475411db9765f9243f53508a&amp;originationContext=document&amp;transitionType=DocumentItem&amp;contextData=(sc.Default)&amp;vr=3.0&amp;rs=cblt1.0" TargetMode="External"/><Relationship Id="rId452" Type="http://schemas.openxmlformats.org/officeDocument/2006/relationships/hyperlink" Target="http://www.westlaw.com/Link/Document/FullText?entityType=disease&amp;entityId=Ic21f078b475411db9765f9243f53508a&amp;originationContext=document&amp;transitionType=DocumentItem&amp;contextData=(sc.Default)&amp;vr=3.0&amp;rs=cblt1.0" TargetMode="External"/><Relationship Id="rId453"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454" Type="http://schemas.openxmlformats.org/officeDocument/2006/relationships/hyperlink" Target="http://www.westlaw.com/Link/Document/FullText?entityType=injury&amp;entityId=Ib29e10dc475411db9765f9243f53508a&amp;originationContext=document&amp;transitionType=DocumentItem&amp;contextData=(sc.Default)&amp;vr=3.0&amp;rs=cblt1.0" TargetMode="External"/><Relationship Id="rId455" Type="http://schemas.openxmlformats.org/officeDocument/2006/relationships/hyperlink" Target="http://www.westlaw.com/Link/Document/FullText?entityType=injury&amp;entityId=Ib29e10dc475411db9765f9243f53508a&amp;originationContext=document&amp;transitionType=DocumentItem&amp;contextData=(sc.Default)&amp;vr=3.0&amp;rs=cblt1.0" TargetMode="External"/><Relationship Id="rId456"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457"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 Id="rId458" Type="http://schemas.openxmlformats.org/officeDocument/2006/relationships/hyperlink" Target="http://www.westlaw.com/Link/Document/FullText?entityType=injury&amp;entityId=Ib311e197475411db9765f9243f53508a&amp;originationContext=document&amp;transitionType=DocumentItem&amp;contextData=(sc.Default)&amp;vr=3.0&amp;rs=cblt1.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32</Pages>
  <Words>38763</Words>
  <Characters>220950</Characters>
  <Application>Microsoft Macintosh Word</Application>
  <DocSecurity>0</DocSecurity>
  <Lines>1841</Lines>
  <Paragraphs>518</Paragraphs>
  <ScaleCrop>false</ScaleCrop>
  <Company/>
  <LinksUpToDate>false</LinksUpToDate>
  <CharactersWithSpaces>259195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Elizabeth Burch</cp:lastModifiedBy>
  <cp:revision>3</cp:revision>
  <dcterms:created xsi:type="dcterms:W3CDTF">2017-05-12T13:09:00Z</dcterms:created>
  <dcterms:modified xsi:type="dcterms:W3CDTF">2017-05-12T13:35:00Z</dcterms:modified>
</cp:coreProperties>
</file>