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C0C97">
      <w:pPr>
        <w:widowControl w:val="0"/>
        <w:autoSpaceDE w:val="0"/>
        <w:autoSpaceDN w:val="0"/>
        <w:adjustRightInd w:val="0"/>
        <w:rPr>
          <w:rFonts w:ascii="Times New Roman" w:hAnsi="Times New Roman" w:cs="Times New Roman"/>
        </w:rPr>
      </w:pPr>
      <w:bookmarkStart w:id="0" w:name="_GoBack"/>
      <w:bookmarkEnd w:id="0"/>
    </w:p>
    <w:p w:rsidR="00000000" w:rsidRDefault="001C0C97">
      <w:pPr>
        <w:widowControl w:val="0"/>
        <w:autoSpaceDE w:val="0"/>
        <w:autoSpaceDN w:val="0"/>
        <w:adjustRightInd w:val="0"/>
        <w:rPr>
          <w:rFonts w:ascii="Arial" w:hAnsi="Arial" w:cs="Arial"/>
        </w:rPr>
        <w:sectPr w:rsidR="00000000">
          <w:headerReference w:type="default" r:id="rId7"/>
          <w:footerReference w:type="default" r:id="rId8"/>
          <w:pgSz w:w="12240" w:h="15840"/>
          <w:pgMar w:top="1800" w:right="1080" w:bottom="1080" w:left="1080" w:header="720" w:footer="720" w:gutter="0"/>
          <w:cols w:space="720"/>
          <w:noEndnote/>
        </w:sectPr>
      </w:pP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1" w:name="co_document_1"/>
      <w:bookmarkStart w:id="2" w:name="Ic6be13231ffc11e080558336ea473530_Target"/>
      <w:bookmarkEnd w:id="1"/>
      <w:bookmarkEnd w:id="2"/>
    </w:p>
    <w:p w:rsidR="00000000" w:rsidRDefault="001C0C97">
      <w:pPr>
        <w:widowControl w:val="0"/>
        <w:autoSpaceDE w:val="0"/>
        <w:autoSpaceDN w:val="0"/>
        <w:adjustRightInd w:val="0"/>
        <w:jc w:val="both"/>
        <w:rPr>
          <w:rFonts w:ascii="Times New Roman" w:hAnsi="Times New Roman" w:cs="Times New Roman"/>
          <w:color w:val="000000"/>
          <w:sz w:val="16"/>
          <w:szCs w:val="16"/>
        </w:rPr>
      </w:pPr>
      <w:bookmarkStart w:id="3" w:name="co_readingModeKC_1"/>
      <w:bookmarkEnd w:id="3"/>
    </w:p>
    <w:p w:rsidR="00000000" w:rsidRDefault="00B12FB3">
      <w:pPr>
        <w:widowControl w:val="0"/>
        <w:autoSpaceDE w:val="0"/>
        <w:autoSpaceDN w:val="0"/>
        <w:adjustRightInd w:val="0"/>
        <w:jc w:val="both"/>
        <w:rPr>
          <w:rFonts w:ascii="Times New Roman" w:hAnsi="Times New Roman" w:cs="Times New Roman"/>
          <w:color w:val="000000"/>
          <w:sz w:val="16"/>
          <w:szCs w:val="16"/>
        </w:rPr>
      </w:pPr>
      <w:bookmarkStart w:id="4" w:name="co_readingModeCitatorFlag_1"/>
      <w:bookmarkEnd w:id="4"/>
      <w:r>
        <w:rPr>
          <w:rFonts w:ascii="Times New Roman" w:hAnsi="Times New Roman" w:cs="Times New Roman"/>
          <w:noProof/>
          <w:color w:val="000000"/>
          <w:sz w:val="16"/>
          <w:szCs w:val="16"/>
        </w:rPr>
        <w:drawing>
          <wp:inline distT="0" distB="0" distL="0" distR="0">
            <wp:extent cx="161290" cy="161290"/>
            <wp:effectExtent l="0" t="0" r="0" b="0"/>
            <wp:docPr id="4" name="Picture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sidR="001C0C97">
        <w:rPr>
          <w:rFonts w:ascii="Times New Roman" w:hAnsi="Times New Roman" w:cs="Times New Roman"/>
          <w:color w:val="000000"/>
          <w:sz w:val="16"/>
          <w:szCs w:val="16"/>
        </w:rPr>
        <w:t>KeyCite Yellow Flag - Negative Treatment</w:t>
      </w:r>
    </w:p>
    <w:p w:rsidR="00000000" w:rsidRDefault="001C0C97">
      <w:pPr>
        <w:widowControl w:val="0"/>
        <w:numPr>
          <w:ilvl w:val="0"/>
          <w:numId w:val="1"/>
        </w:numPr>
        <w:autoSpaceDE w:val="0"/>
        <w:autoSpaceDN w:val="0"/>
        <w:adjustRightInd w:val="0"/>
        <w:ind w:hanging="360"/>
        <w:jc w:val="both"/>
        <w:rPr>
          <w:rFonts w:ascii="Times New Roman" w:hAnsi="Times New Roman" w:cs="Times New Roman"/>
          <w:color w:val="000000"/>
          <w:sz w:val="16"/>
          <w:szCs w:val="16"/>
        </w:rPr>
      </w:pPr>
      <w:bookmarkStart w:id="5" w:name="co_readingModeNegativeTreatment_1"/>
      <w:bookmarkEnd w:id="5"/>
      <w:r>
        <w:rPr>
          <w:rFonts w:ascii="Times New Roman" w:hAnsi="Times New Roman" w:cs="Times New Roman"/>
          <w:color w:val="000000"/>
          <w:sz w:val="16"/>
          <w:szCs w:val="16"/>
        </w:rPr>
        <w:t xml:space="preserve">Distinguished by </w:t>
      </w:r>
      <w:hyperlink r:id="rId11" w:history="1">
        <w:r>
          <w:rPr>
            <w:rFonts w:ascii="Times New Roman" w:hAnsi="Times New Roman" w:cs="Times New Roman"/>
            <w:color w:val="000000"/>
            <w:sz w:val="16"/>
            <w:szCs w:val="16"/>
          </w:rPr>
          <w:t xml:space="preserve">In re Deepwater Horizon, </w:t>
        </w:r>
      </w:hyperlink>
      <w:r>
        <w:rPr>
          <w:rFonts w:ascii="Times New Roman" w:hAnsi="Times New Roman" w:cs="Times New Roman"/>
          <w:color w:val="000000"/>
          <w:sz w:val="16"/>
          <w:szCs w:val="16"/>
        </w:rPr>
        <w:t>5th Cir.(La.), May 8, 2015</w:t>
      </w:r>
    </w:p>
    <w:p w:rsidR="00000000" w:rsidRDefault="001C0C97">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760 F.Supp.2d 640</w:t>
      </w:r>
    </w:p>
    <w:p w:rsidR="00000000" w:rsidRDefault="001C0C97">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United States District Court,</w:t>
      </w:r>
    </w:p>
    <w:p w:rsidR="00000000" w:rsidRDefault="001C0C97">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E.D. Louisiana.</w:t>
      </w:r>
    </w:p>
    <w:p w:rsidR="00000000" w:rsidRDefault="001C0C97">
      <w:pPr>
        <w:widowControl w:val="0"/>
        <w:autoSpaceDE w:val="0"/>
        <w:autoSpaceDN w:val="0"/>
        <w:adjustRightInd w:val="0"/>
        <w:spacing w:before="200"/>
        <w:ind w:left="100" w:right="100"/>
        <w:jc w:val="center"/>
        <w:rPr>
          <w:rFonts w:ascii="georgia" w:hAnsi="georgia" w:cs="georgia"/>
          <w:color w:val="252525"/>
          <w:sz w:val="20"/>
          <w:szCs w:val="20"/>
        </w:rPr>
      </w:pPr>
      <w:r>
        <w:rPr>
          <w:rFonts w:ascii="georgia" w:hAnsi="georgia" w:cs="georgia"/>
          <w:color w:val="252525"/>
          <w:sz w:val="20"/>
          <w:szCs w:val="20"/>
        </w:rPr>
        <w:t xml:space="preserve">In re VIOXX </w:t>
      </w:r>
      <w:r>
        <w:rPr>
          <w:rFonts w:ascii="georgia" w:hAnsi="georgia" w:cs="georgia"/>
          <w:color w:val="252525"/>
          <w:sz w:val="20"/>
          <w:szCs w:val="20"/>
        </w:rPr>
        <w:t>PRODUCTS LIABILITY LITIGATION.</w:t>
      </w:r>
    </w:p>
    <w:p w:rsidR="00000000" w:rsidRDefault="001C0C97">
      <w:pPr>
        <w:widowControl w:val="0"/>
        <w:autoSpaceDE w:val="0"/>
        <w:autoSpaceDN w:val="0"/>
        <w:adjustRightInd w:val="0"/>
        <w:spacing w:after="200"/>
        <w:ind w:left="100" w:right="100"/>
        <w:jc w:val="center"/>
        <w:rPr>
          <w:rFonts w:ascii="georgia" w:hAnsi="georgia" w:cs="georgia"/>
          <w:color w:val="252525"/>
          <w:sz w:val="20"/>
          <w:szCs w:val="20"/>
        </w:rPr>
      </w:pPr>
      <w:r>
        <w:rPr>
          <w:rFonts w:ascii="georgia" w:hAnsi="georgia" w:cs="georgia"/>
          <w:color w:val="252525"/>
          <w:sz w:val="20"/>
          <w:szCs w:val="20"/>
        </w:rPr>
        <w:t>This Document Relates To All Cases.</w:t>
      </w:r>
    </w:p>
    <w:p w:rsidR="00000000" w:rsidRDefault="001C0C97">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MDL No. 1657.</w:t>
      </w:r>
    </w:p>
    <w:p w:rsidR="00000000" w:rsidRDefault="001C0C97">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w:t>
      </w:r>
    </w:p>
    <w:p w:rsidR="00000000" w:rsidRDefault="001C0C97">
      <w:pPr>
        <w:widowControl w:val="0"/>
        <w:autoSpaceDE w:val="0"/>
        <w:autoSpaceDN w:val="0"/>
        <w:adjustRightInd w:val="0"/>
        <w:spacing w:after="200"/>
        <w:ind w:left="200"/>
        <w:jc w:val="center"/>
        <w:rPr>
          <w:rFonts w:ascii="georgia" w:hAnsi="georgia" w:cs="georgia"/>
          <w:color w:val="000000"/>
          <w:sz w:val="20"/>
          <w:szCs w:val="20"/>
        </w:rPr>
      </w:pPr>
      <w:r>
        <w:rPr>
          <w:rFonts w:ascii="georgia" w:hAnsi="georgia" w:cs="georgia"/>
          <w:color w:val="000000"/>
          <w:sz w:val="20"/>
          <w:szCs w:val="20"/>
        </w:rPr>
        <w:t>Oct. 19, 2010.</w:t>
      </w:r>
    </w:p>
    <w:p w:rsidR="00000000" w:rsidRDefault="001C0C97">
      <w:pPr>
        <w:widowControl w:val="0"/>
        <w:autoSpaceDE w:val="0"/>
        <w:autoSpaceDN w:val="0"/>
        <w:adjustRightInd w:val="0"/>
        <w:spacing w:before="400"/>
        <w:jc w:val="both"/>
        <w:rPr>
          <w:rFonts w:ascii="Times New Roman" w:hAnsi="Times New Roman" w:cs="Times New Roman"/>
          <w:b/>
          <w:bCs/>
          <w:color w:val="212121"/>
          <w:sz w:val="20"/>
          <w:szCs w:val="20"/>
        </w:rPr>
      </w:pPr>
      <w:bookmarkStart w:id="6" w:name="co_synopsis_1"/>
      <w:bookmarkEnd w:id="6"/>
      <w:r>
        <w:rPr>
          <w:rFonts w:ascii="Times New Roman" w:hAnsi="Times New Roman" w:cs="Times New Roman"/>
          <w:b/>
          <w:bCs/>
          <w:color w:val="212121"/>
          <w:sz w:val="20"/>
          <w:szCs w:val="20"/>
        </w:rPr>
        <w:t>Synopsis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b/>
          <w:bCs/>
          <w:color w:val="000000"/>
          <w:sz w:val="20"/>
          <w:szCs w:val="20"/>
        </w:rPr>
        <w:t>Background:</w:t>
      </w:r>
      <w:r>
        <w:rPr>
          <w:rFonts w:ascii="Times New Roman" w:hAnsi="Times New Roman" w:cs="Times New Roman"/>
          <w:color w:val="000000"/>
          <w:sz w:val="20"/>
          <w:szCs w:val="20"/>
        </w:rPr>
        <w:t xml:space="preserve"> Following global settlement of multidistrict products liability litiga</w:t>
      </w:r>
      <w:r>
        <w:rPr>
          <w:rFonts w:ascii="Times New Roman" w:hAnsi="Times New Roman" w:cs="Times New Roman"/>
          <w:color w:val="000000"/>
          <w:sz w:val="20"/>
          <w:szCs w:val="20"/>
        </w:rPr>
        <w:t>tion involving a prescription drug, liaison counsel filed motion for an award of common benefit counsel fees and reimbursement of expenses.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spacing w:before="400"/>
        <w:jc w:val="both"/>
        <w:rPr>
          <w:rFonts w:ascii="Times New Roman" w:hAnsi="Times New Roman" w:cs="Times New Roman"/>
          <w:color w:val="000000"/>
          <w:sz w:val="20"/>
          <w:szCs w:val="20"/>
        </w:rPr>
      </w:pPr>
      <w:r>
        <w:rPr>
          <w:rFonts w:ascii="Times New Roman" w:hAnsi="Times New Roman" w:cs="Times New Roman"/>
          <w:b/>
          <w:bCs/>
          <w:color w:val="000000"/>
          <w:sz w:val="20"/>
          <w:szCs w:val="20"/>
        </w:rPr>
        <w:t>Holdings:</w:t>
      </w:r>
      <w:r>
        <w:rPr>
          <w:rFonts w:ascii="Times New Roman" w:hAnsi="Times New Roman" w:cs="Times New Roman"/>
          <w:color w:val="000000"/>
          <w:sz w:val="20"/>
          <w:szCs w:val="20"/>
        </w:rPr>
        <w:t xml:space="preserve"> The District Court, </w:t>
      </w:r>
      <w:hyperlink r:id="rId12" w:history="1">
        <w:r>
          <w:rPr>
            <w:rFonts w:ascii="Times New Roman" w:hAnsi="Times New Roman" w:cs="Times New Roman"/>
            <w:color w:val="000000"/>
            <w:sz w:val="20"/>
            <w:szCs w:val="20"/>
          </w:rPr>
          <w:t>Eldon E. Fallon</w:t>
        </w:r>
      </w:hyperlink>
      <w:r>
        <w:rPr>
          <w:rFonts w:ascii="Times New Roman" w:hAnsi="Times New Roman" w:cs="Times New Roman"/>
          <w:color w:val="000000"/>
          <w:sz w:val="20"/>
          <w:szCs w:val="20"/>
        </w:rPr>
        <w:t>, J., held that: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hyperlink r:id="rId13" w:history="1">
        <w:r>
          <w:rPr>
            <w:rFonts w:ascii="Times New Roman" w:hAnsi="Times New Roman" w:cs="Times New Roman"/>
            <w:color w:val="000000"/>
            <w:sz w:val="20"/>
            <w:szCs w:val="20"/>
            <w:vertAlign w:val="superscript"/>
          </w:rPr>
          <w:t>[1]</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blended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percentage method, utilizing Johnson framework, was appropriate method for calculating reasonable common benefit attorney fees, and</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hyperlink r:id="rId14" w:history="1">
        <w:r>
          <w:rPr>
            <w:rFonts w:ascii="Times New Roman" w:hAnsi="Times New Roman" w:cs="Times New Roman"/>
            <w:color w:val="000000"/>
            <w:sz w:val="20"/>
            <w:szCs w:val="20"/>
            <w:vertAlign w:val="superscript"/>
          </w:rPr>
          <w:t>[2]</w:t>
        </w:r>
      </w:hyperlink>
      <w:r>
        <w:rPr>
          <w:rFonts w:ascii="Times New Roman" w:hAnsi="Times New Roman" w:cs="Times New Roman"/>
          <w:color w:val="000000"/>
          <w:sz w:val="20"/>
          <w:szCs w:val="20"/>
        </w:rPr>
        <w:t xml:space="preserve"> 6.5% of total $4.85 billion settlement amount, or $315,250,000, was </w:t>
      </w:r>
      <w:r>
        <w:rPr>
          <w:rFonts w:ascii="Times New Roman" w:hAnsi="Times New Roman" w:cs="Times New Roman"/>
          <w:color w:val="000000"/>
          <w:sz w:val="20"/>
          <w:szCs w:val="20"/>
        </w:rPr>
        <w:t>a reasonable common benefit fee award.</w:t>
      </w:r>
    </w:p>
    <w:p w:rsidR="00000000" w:rsidRDefault="001C0C97">
      <w:pPr>
        <w:widowControl w:val="0"/>
        <w:autoSpaceDE w:val="0"/>
        <w:autoSpaceDN w:val="0"/>
        <w:adjustRightInd w:val="0"/>
        <w:spacing w:after="20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Motion granted in part.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spacing w:before="200" w:after="200"/>
        <w:jc w:val="both"/>
        <w:rPr>
          <w:rFonts w:ascii="Times New Roman" w:hAnsi="Times New Roman" w:cs="Times New Roman"/>
          <w:b/>
          <w:bCs/>
          <w:color w:val="212121"/>
          <w:sz w:val="20"/>
          <w:szCs w:val="20"/>
        </w:rPr>
      </w:pPr>
      <w:bookmarkStart w:id="7" w:name="co_attorneysAndLawFirms_1"/>
      <w:bookmarkEnd w:id="7"/>
      <w:r>
        <w:rPr>
          <w:rFonts w:ascii="Times New Roman" w:hAnsi="Times New Roman" w:cs="Times New Roman"/>
          <w:b/>
          <w:bCs/>
          <w:color w:val="212121"/>
          <w:sz w:val="20"/>
          <w:szCs w:val="20"/>
        </w:rPr>
        <w:t>Attorneys and Law Firms</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8" w:name="co_pp_sp_4637_641_1"/>
      <w:bookmarkEnd w:id="8"/>
      <w:r>
        <w:rPr>
          <w:rFonts w:ascii="Times New Roman" w:hAnsi="Times New Roman" w:cs="Times New Roman"/>
          <w:b/>
          <w:bCs/>
          <w:color w:val="000000"/>
          <w:sz w:val="20"/>
          <w:szCs w:val="20"/>
        </w:rPr>
        <w:t>*641</w:t>
      </w:r>
      <w:r>
        <w:rPr>
          <w:rFonts w:ascii="Times New Roman" w:hAnsi="Times New Roman" w:cs="Times New Roman"/>
          <w:color w:val="000000"/>
          <w:sz w:val="20"/>
          <w:szCs w:val="20"/>
        </w:rPr>
        <w:t xml:space="preserve"> </w:t>
      </w:r>
      <w:hyperlink r:id="rId15" w:history="1">
        <w:r>
          <w:rPr>
            <w:rFonts w:ascii="Times New Roman" w:hAnsi="Times New Roman" w:cs="Times New Roman"/>
            <w:color w:val="000000"/>
            <w:sz w:val="20"/>
            <w:szCs w:val="20"/>
          </w:rPr>
          <w:t>Orran L. Brown</w:t>
        </w:r>
      </w:hyperlink>
      <w:r>
        <w:rPr>
          <w:rFonts w:ascii="Times New Roman" w:hAnsi="Times New Roman" w:cs="Times New Roman"/>
          <w:color w:val="000000"/>
          <w:sz w:val="20"/>
          <w:szCs w:val="20"/>
        </w:rPr>
        <w:t>, Browngreer PLC, Richmond, VA, for Plaintiff.</w:t>
      </w:r>
    </w:p>
    <w:p w:rsidR="00000000" w:rsidRDefault="001C0C97">
      <w:pPr>
        <w:widowControl w:val="0"/>
        <w:autoSpaceDE w:val="0"/>
        <w:autoSpaceDN w:val="0"/>
        <w:adjustRightInd w:val="0"/>
        <w:spacing w:before="200"/>
        <w:jc w:val="both"/>
        <w:rPr>
          <w:rFonts w:ascii="Times New Roman" w:hAnsi="Times New Roman" w:cs="Times New Roman"/>
          <w:color w:val="000000"/>
          <w:sz w:val="20"/>
          <w:szCs w:val="20"/>
        </w:rPr>
      </w:pPr>
      <w:hyperlink r:id="rId16" w:history="1">
        <w:r>
          <w:rPr>
            <w:rFonts w:ascii="Times New Roman" w:hAnsi="Times New Roman" w:cs="Times New Roman"/>
            <w:color w:val="000000"/>
            <w:sz w:val="20"/>
            <w:szCs w:val="20"/>
          </w:rPr>
          <w:t>Eric M</w:t>
        </w:r>
        <w:r>
          <w:rPr>
            <w:rFonts w:ascii="Times New Roman" w:hAnsi="Times New Roman" w:cs="Times New Roman"/>
            <w:color w:val="000000"/>
            <w:sz w:val="20"/>
            <w:szCs w:val="20"/>
          </w:rPr>
          <w:t>ichael Liddick</w:t>
        </w:r>
      </w:hyperlink>
      <w:r>
        <w:rPr>
          <w:rFonts w:ascii="Times New Roman" w:hAnsi="Times New Roman" w:cs="Times New Roman"/>
          <w:color w:val="000000"/>
          <w:sz w:val="20"/>
          <w:szCs w:val="20"/>
        </w:rPr>
        <w:t xml:space="preserve">, </w:t>
      </w:r>
      <w:hyperlink r:id="rId17" w:history="1">
        <w:r>
          <w:rPr>
            <w:rFonts w:ascii="Times New Roman" w:hAnsi="Times New Roman" w:cs="Times New Roman"/>
            <w:color w:val="000000"/>
            <w:sz w:val="20"/>
            <w:szCs w:val="20"/>
          </w:rPr>
          <w:t>Harry Simms Hardin, III</w:t>
        </w:r>
      </w:hyperlink>
      <w:r>
        <w:rPr>
          <w:rFonts w:ascii="Times New Roman" w:hAnsi="Times New Roman" w:cs="Times New Roman"/>
          <w:color w:val="000000"/>
          <w:sz w:val="20"/>
          <w:szCs w:val="20"/>
        </w:rPr>
        <w:t xml:space="preserve">, </w:t>
      </w:r>
      <w:hyperlink r:id="rId18" w:history="1">
        <w:r>
          <w:rPr>
            <w:rFonts w:ascii="Times New Roman" w:hAnsi="Times New Roman" w:cs="Times New Roman"/>
            <w:color w:val="000000"/>
            <w:sz w:val="20"/>
            <w:szCs w:val="20"/>
          </w:rPr>
          <w:t>Madeleine Fischer</w:t>
        </w:r>
      </w:hyperlink>
      <w:r>
        <w:rPr>
          <w:rFonts w:ascii="Times New Roman" w:hAnsi="Times New Roman" w:cs="Times New Roman"/>
          <w:color w:val="000000"/>
          <w:sz w:val="20"/>
          <w:szCs w:val="20"/>
        </w:rPr>
        <w:t>, Jones Walker, New Orleans, LA, for Vioxx Products Liability Litigation.</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9" w:name="co_anchor_I95b00dce9b6911e38578f7ccc38dc"/>
      <w:bookmarkEnd w:id="9"/>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10" w:name="co_anchor_I95b00dd09b6911e38578f7ccc38dc"/>
      <w:bookmarkEnd w:id="10"/>
    </w:p>
    <w:p w:rsidR="00000000" w:rsidRDefault="001C0C97">
      <w:pPr>
        <w:widowControl w:val="0"/>
        <w:autoSpaceDE w:val="0"/>
        <w:autoSpaceDN w:val="0"/>
        <w:adjustRightInd w:val="0"/>
        <w:spacing w:before="400" w:after="20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ORDER &amp; REASONS</w:t>
      </w:r>
    </w:p>
    <w:p w:rsidR="00000000" w:rsidRDefault="001C0C97">
      <w:pPr>
        <w:widowControl w:val="0"/>
        <w:autoSpaceDE w:val="0"/>
        <w:autoSpaceDN w:val="0"/>
        <w:adjustRightInd w:val="0"/>
        <w:spacing w:before="200" w:after="200"/>
        <w:jc w:val="both"/>
        <w:rPr>
          <w:rFonts w:ascii="Times New Roman" w:hAnsi="Times New Roman" w:cs="Times New Roman"/>
          <w:color w:val="000000"/>
          <w:sz w:val="20"/>
          <w:szCs w:val="20"/>
        </w:rPr>
      </w:pPr>
      <w:hyperlink r:id="rId19" w:history="1">
        <w:r>
          <w:rPr>
            <w:rFonts w:ascii="Times New Roman" w:hAnsi="Times New Roman" w:cs="Times New Roman"/>
            <w:color w:val="000000"/>
            <w:sz w:val="20"/>
            <w:szCs w:val="20"/>
          </w:rPr>
          <w:t>ELDON E. FALLON</w:t>
        </w:r>
      </w:hyperlink>
      <w:r>
        <w:rPr>
          <w:rFonts w:ascii="Times New Roman" w:hAnsi="Times New Roman" w:cs="Times New Roman"/>
          <w:color w:val="000000"/>
          <w:sz w:val="20"/>
          <w:szCs w:val="20"/>
        </w:rPr>
        <w:t>, District Judge.</w:t>
      </w:r>
    </w:p>
    <w:p w:rsidR="00000000" w:rsidRDefault="001C0C97">
      <w:pPr>
        <w:widowControl w:val="0"/>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20"/>
          <w:szCs w:val="20"/>
        </w:rPr>
        <w:t>Currently pending before this Court is Plaintiff Liaison Counsel (</w:t>
      </w:r>
      <w:r>
        <w:rPr>
          <w:rFonts w:ascii="Times New Roman" w:hAnsi="Times New Roman" w:cs="Times New Roman"/>
          <w:color w:val="000000"/>
          <w:sz w:val="20"/>
          <w:szCs w:val="20"/>
        </w:rPr>
        <w:t>“</w:t>
      </w:r>
      <w:r>
        <w:rPr>
          <w:rFonts w:ascii="Times New Roman" w:hAnsi="Times New Roman" w:cs="Times New Roman"/>
          <w:color w:val="000000"/>
          <w:sz w:val="20"/>
          <w:szCs w:val="20"/>
        </w:rPr>
        <w:t>PLC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)’s Motion for an Award of Plaintiffs’ Common Benefit </w:t>
      </w:r>
      <w:bookmarkStart w:id="11" w:name="co_pp_sp_4637_642_1"/>
      <w:bookmarkEnd w:id="11"/>
      <w:r>
        <w:rPr>
          <w:rFonts w:ascii="Times New Roman" w:hAnsi="Times New Roman" w:cs="Times New Roman"/>
          <w:b/>
          <w:bCs/>
          <w:color w:val="000000"/>
          <w:sz w:val="20"/>
          <w:szCs w:val="20"/>
        </w:rPr>
        <w:t>*642</w:t>
      </w:r>
      <w:r>
        <w:rPr>
          <w:rFonts w:ascii="Times New Roman" w:hAnsi="Times New Roman" w:cs="Times New Roman"/>
          <w:color w:val="000000"/>
          <w:sz w:val="20"/>
          <w:szCs w:val="20"/>
        </w:rPr>
        <w:t xml:space="preserve"> Counsel Fees and Reimbursement of Expenses (Rec. Doc. 17642). Having previously resolved the issue of reimbursement of expenses,</w:t>
      </w:r>
      <w:bookmarkStart w:id="12" w:name="co_footnoteReference_B00112024375594_ID0"/>
      <w:bookmarkEnd w:id="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w:instrText>
      </w:r>
      <w:r>
        <w:rPr>
          <w:rFonts w:ascii="Times New Roman" w:hAnsi="Times New Roman" w:cs="Times New Roman"/>
          <w:color w:val="000000"/>
          <w:sz w:val="16"/>
          <w:szCs w:val="16"/>
        </w:rPr>
        <w:instrText xml:space="preserve">B00112024375594_1"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now turns its attention to a determination of the appropriate common benefit fee amount.</w:t>
      </w:r>
      <w:bookmarkStart w:id="13" w:name="co_footnoteReference_B00222024375594_ID0"/>
      <w:bookmarkEnd w:id="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"#co_footnote_B00222024375594_1"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2</w:t>
      </w:r>
      <w:r>
        <w:rPr>
          <w:rFonts w:ascii="Times New Roman" w:hAnsi="Times New Roman" w:cs="Times New Roman"/>
          <w:color w:val="000000"/>
          <w:sz w:val="16"/>
          <w:szCs w:val="16"/>
        </w:rPr>
        <w:fldChar w:fldCharType="end"/>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4" w:name="co_footnote_B00112024375594_1"/>
          <w:bookmarkEnd w:id="14"/>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"#co_footnoteReference_B00112024375594_ID0"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On September 23, 2009, the Court ordered that $48.5 million, which represents 1% of the total settlement amount in this case, be set aside as the Common Benefit Expense Fund. See Pretrial Order No. 51 (Sept. 23, 2009). The Court also ordered that $40,049,7</w:t>
            </w:r>
            <w:r>
              <w:rPr>
                <w:rFonts w:ascii="Times New Roman" w:hAnsi="Times New Roman" w:cs="Times New Roman"/>
                <w:color w:val="000000"/>
                <w:sz w:val="18"/>
                <w:szCs w:val="18"/>
              </w:rPr>
              <w:t xml:space="preserve">48.16 in costs be reimbursed at that time. </w:t>
            </w:r>
            <w:r>
              <w:rPr>
                <w:rFonts w:ascii="Times New Roman" w:hAnsi="Times New Roman" w:cs="Times New Roman"/>
                <w:i/>
                <w:iCs/>
                <w:color w:val="000000"/>
                <w:sz w:val="18"/>
                <w:szCs w:val="18"/>
              </w:rPr>
              <w:t>Id.</w:t>
            </w:r>
            <w:r>
              <w:rPr>
                <w:rFonts w:ascii="Times New Roman" w:hAnsi="Times New Roman" w:cs="Times New Roman"/>
                <w:color w:val="000000"/>
                <w:sz w:val="18"/>
                <w:szCs w:val="18"/>
              </w:rPr>
              <w:t xml:space="preserve"> Those requests for reimbursement of common benefit costs were vetted first by the Court-appointed CPA, then by a sub-committee of the Fee Allocation Committee, and finally by the entire Fee Allocation Committe</w:t>
            </w:r>
            <w:r>
              <w:rPr>
                <w:rFonts w:ascii="Times New Roman" w:hAnsi="Times New Roman" w:cs="Times New Roman"/>
                <w:color w:val="000000"/>
                <w:sz w:val="18"/>
                <w:szCs w:val="18"/>
              </w:rPr>
              <w:t xml:space="preserve">e. On December 17, 2009, the Court ordered that an additional $49,216.08 in costs be reimbursed.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Order, Rec. Doc. 30153 (Dec. 17, 2009). Finally, the Court established a procedure whereby future common expenses would be reviewed and reimbursed.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Pre</w:t>
            </w:r>
            <w:r>
              <w:rPr>
                <w:rFonts w:ascii="Times New Roman" w:hAnsi="Times New Roman" w:cs="Times New Roman"/>
                <w:color w:val="000000"/>
                <w:sz w:val="18"/>
                <w:szCs w:val="18"/>
              </w:rPr>
              <w:t>trial Order No. 51 (Sept. 23, 2009).</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5" w:name="co_footnote_B00222024375594_1"/>
          <w:bookmarkEnd w:id="15"/>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"#co_footnoteReference_B00222024375594_ID0"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The allocation of the common benefit fee amongst the fee applicants, which is the responsibility o</w:t>
            </w:r>
            <w:r>
              <w:rPr>
                <w:rFonts w:ascii="Times New Roman" w:hAnsi="Times New Roman" w:cs="Times New Roman"/>
                <w:color w:val="000000"/>
                <w:sz w:val="18"/>
                <w:szCs w:val="18"/>
              </w:rPr>
              <w:t>f this Court pursuant to the Settlement Agreement, will not be addressed at this time. The Court will merely determine the appropriate total fee amount, leaving allocation for another day.</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16" w:name="co_anchor_I95b00dd19b6911e38578f7ccc38dc"/>
      <w:bookmarkEnd w:id="16"/>
    </w:p>
    <w:p w:rsidR="00000000" w:rsidRDefault="001C0C97">
      <w:pPr>
        <w:widowControl w:val="0"/>
        <w:autoSpaceDE w:val="0"/>
        <w:autoSpaceDN w:val="0"/>
        <w:adjustRightInd w:val="0"/>
        <w:spacing w:before="200"/>
        <w:rPr>
          <w:rFonts w:ascii="Times New Roman" w:hAnsi="Times New Roman" w:cs="Times New Roman"/>
          <w:b/>
          <w:bCs/>
          <w:color w:val="000000"/>
          <w:sz w:val="20"/>
          <w:szCs w:val="20"/>
        </w:rPr>
      </w:pPr>
      <w:r>
        <w:rPr>
          <w:rFonts w:ascii="Times New Roman" w:hAnsi="Times New Roman" w:cs="Times New Roman"/>
          <w:b/>
          <w:bCs/>
          <w:color w:val="000000"/>
          <w:sz w:val="20"/>
          <w:szCs w:val="20"/>
        </w:rPr>
        <w:t>I. FACTUAL BACKGROUND</w:t>
      </w:r>
    </w:p>
    <w:p w:rsidR="00000000" w:rsidRDefault="001C0C97">
      <w:pPr>
        <w:widowControl w:val="0"/>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To put this matter in perspective, a brief review of this litigation is appropriate. This multidistrict products liability litigation involves the prescription drug </w:t>
      </w:r>
      <w:hyperlink r:id="rId20"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known generically as </w:t>
      </w:r>
      <w:hyperlink r:id="rId21" w:history="1">
        <w:r>
          <w:rPr>
            <w:rFonts w:ascii="Times New Roman" w:hAnsi="Times New Roman" w:cs="Times New Roman"/>
            <w:color w:val="000000"/>
            <w:sz w:val="20"/>
            <w:szCs w:val="20"/>
          </w:rPr>
          <w:t>Rofecoxib</w:t>
        </w:r>
      </w:hyperlink>
      <w:r>
        <w:rPr>
          <w:rFonts w:ascii="Times New Roman" w:hAnsi="Times New Roman" w:cs="Times New Roman"/>
          <w:color w:val="000000"/>
          <w:sz w:val="20"/>
          <w:szCs w:val="20"/>
        </w:rPr>
        <w:t>. Merck, a New Jersey corporation, researched, designed, manufactured, marketed and dis</w:t>
      </w:r>
      <w:r>
        <w:rPr>
          <w:rFonts w:ascii="Times New Roman" w:hAnsi="Times New Roman" w:cs="Times New Roman"/>
          <w:color w:val="000000"/>
          <w:sz w:val="20"/>
          <w:szCs w:val="20"/>
        </w:rPr>
        <w:t xml:space="preserve">tributed </w:t>
      </w:r>
      <w:hyperlink r:id="rId22"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to relieve pain and i</w:t>
      </w:r>
      <w:r>
        <w:rPr>
          <w:rFonts w:ascii="Times New Roman" w:hAnsi="Times New Roman" w:cs="Times New Roman"/>
          <w:color w:val="000000"/>
          <w:sz w:val="20"/>
          <w:szCs w:val="20"/>
        </w:rPr>
        <w:t xml:space="preserve">nflammation resulting from </w:t>
      </w:r>
      <w:hyperlink r:id="rId23" w:history="1">
        <w:r>
          <w:rPr>
            <w:rFonts w:ascii="Times New Roman" w:hAnsi="Times New Roman" w:cs="Times New Roman"/>
            <w:color w:val="000000"/>
            <w:sz w:val="20"/>
            <w:szCs w:val="20"/>
          </w:rPr>
          <w:t>osteoarthr</w:t>
        </w:r>
        <w:r>
          <w:rPr>
            <w:rFonts w:ascii="Times New Roman" w:hAnsi="Times New Roman" w:cs="Times New Roman"/>
            <w:color w:val="000000"/>
            <w:sz w:val="20"/>
            <w:szCs w:val="20"/>
          </w:rPr>
          <w:t>itis</w:t>
        </w:r>
      </w:hyperlink>
      <w:r>
        <w:rPr>
          <w:rFonts w:ascii="Times New Roman" w:hAnsi="Times New Roman" w:cs="Times New Roman"/>
          <w:color w:val="000000"/>
          <w:sz w:val="20"/>
          <w:szCs w:val="20"/>
        </w:rPr>
        <w:t xml:space="preserve">, </w:t>
      </w:r>
      <w:hyperlink r:id="rId24" w:history="1">
        <w:r>
          <w:rPr>
            <w:rFonts w:ascii="Times New Roman" w:hAnsi="Times New Roman" w:cs="Times New Roman"/>
            <w:color w:val="000000"/>
            <w:sz w:val="20"/>
            <w:szCs w:val="20"/>
          </w:rPr>
          <w:t xml:space="preserve">rheumatoid </w:t>
        </w:r>
        <w:r>
          <w:rPr>
            <w:rFonts w:ascii="Times New Roman" w:hAnsi="Times New Roman" w:cs="Times New Roman"/>
            <w:color w:val="000000"/>
            <w:sz w:val="20"/>
            <w:szCs w:val="20"/>
          </w:rPr>
          <w:lastRenderedPageBreak/>
          <w:t>arthritis</w:t>
        </w:r>
      </w:hyperlink>
      <w:r>
        <w:rPr>
          <w:rFonts w:ascii="Times New Roman" w:hAnsi="Times New Roman" w:cs="Times New Roman"/>
          <w:color w:val="000000"/>
          <w:sz w:val="20"/>
          <w:szCs w:val="20"/>
        </w:rPr>
        <w:t xml:space="preserve">, </w:t>
      </w:r>
      <w:hyperlink r:id="rId25" w:history="1">
        <w:r>
          <w:rPr>
            <w:rFonts w:ascii="Times New Roman" w:hAnsi="Times New Roman" w:cs="Times New Roman"/>
            <w:color w:val="000000"/>
            <w:sz w:val="20"/>
            <w:szCs w:val="20"/>
          </w:rPr>
          <w:t>menstrual pain</w:t>
        </w:r>
      </w:hyperlink>
      <w:r>
        <w:rPr>
          <w:rFonts w:ascii="Times New Roman" w:hAnsi="Times New Roman" w:cs="Times New Roman"/>
          <w:color w:val="000000"/>
          <w:sz w:val="20"/>
          <w:szCs w:val="20"/>
        </w:rPr>
        <w:t>, and migraine heada</w:t>
      </w:r>
      <w:r>
        <w:rPr>
          <w:rFonts w:ascii="Times New Roman" w:hAnsi="Times New Roman" w:cs="Times New Roman"/>
          <w:color w:val="000000"/>
          <w:sz w:val="20"/>
          <w:szCs w:val="20"/>
        </w:rPr>
        <w:t>ches. On May 20, 1999, the Food and Drug Administration approved Vioxx for sale in the United States. Vioxx remained publicly available until September 20, 2004, when Merck withdrew it from the market after data from a clinical trial known as APPROVe indic</w:t>
      </w:r>
      <w:r>
        <w:rPr>
          <w:rFonts w:ascii="Times New Roman" w:hAnsi="Times New Roman" w:cs="Times New Roman"/>
          <w:color w:val="000000"/>
          <w:sz w:val="20"/>
          <w:szCs w:val="20"/>
        </w:rPr>
        <w:t xml:space="preserve">ated that the use of </w:t>
      </w:r>
      <w:hyperlink r:id="rId26"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increased</w:t>
      </w:r>
      <w:r>
        <w:rPr>
          <w:rFonts w:ascii="Times New Roman" w:hAnsi="Times New Roman" w:cs="Times New Roman"/>
          <w:color w:val="000000"/>
          <w:sz w:val="20"/>
          <w:szCs w:val="20"/>
        </w:rPr>
        <w:t xml:space="preserve"> the risk of cardiovascular thrombotic events such as </w:t>
      </w:r>
      <w:hyperlink r:id="rId27" w:history="1">
        <w:r>
          <w:rPr>
            <w:rFonts w:ascii="Times New Roman" w:hAnsi="Times New Roman" w:cs="Times New Roman"/>
            <w:color w:val="000000"/>
            <w:sz w:val="20"/>
            <w:szCs w:val="20"/>
          </w:rPr>
          <w:t>myocardial infarction</w:t>
        </w:r>
      </w:hyperlink>
      <w:r>
        <w:rPr>
          <w:rFonts w:ascii="Times New Roman" w:hAnsi="Times New Roman" w:cs="Times New Roman"/>
          <w:color w:val="000000"/>
          <w:sz w:val="20"/>
          <w:szCs w:val="20"/>
        </w:rPr>
        <w:t xml:space="preserve"> (</w:t>
      </w:r>
      <w:hyperlink r:id="rId28" w:history="1">
        <w:r>
          <w:rPr>
            <w:rFonts w:ascii="Times New Roman" w:hAnsi="Times New Roman" w:cs="Times New Roman"/>
            <w:color w:val="000000"/>
            <w:sz w:val="20"/>
            <w:szCs w:val="20"/>
          </w:rPr>
          <w:t>heart attack</w:t>
        </w:r>
      </w:hyperlink>
      <w:r>
        <w:rPr>
          <w:rFonts w:ascii="Times New Roman" w:hAnsi="Times New Roman" w:cs="Times New Roman"/>
          <w:color w:val="000000"/>
          <w:sz w:val="20"/>
          <w:szCs w:val="20"/>
        </w:rPr>
        <w:t xml:space="preserve">) and </w:t>
      </w:r>
      <w:hyperlink r:id="rId29" w:history="1">
        <w:r>
          <w:rPr>
            <w:rFonts w:ascii="Times New Roman" w:hAnsi="Times New Roman" w:cs="Times New Roman"/>
            <w:color w:val="000000"/>
            <w:sz w:val="20"/>
            <w:szCs w:val="20"/>
          </w:rPr>
          <w:t>ischemic s</w:t>
        </w:r>
        <w:r>
          <w:rPr>
            <w:rFonts w:ascii="Times New Roman" w:hAnsi="Times New Roman" w:cs="Times New Roman"/>
            <w:color w:val="000000"/>
            <w:sz w:val="20"/>
            <w:szCs w:val="20"/>
          </w:rPr>
          <w:t>troke</w:t>
        </w:r>
      </w:hyperlink>
      <w:r>
        <w:rPr>
          <w:rFonts w:ascii="Times New Roman" w:hAnsi="Times New Roman" w:cs="Times New Roman"/>
          <w:color w:val="000000"/>
          <w:sz w:val="20"/>
          <w:szCs w:val="20"/>
        </w:rPr>
        <w:t>. Thereafter, thousands of individual suits and numerous class actions were filed against Merck in state and federal courts throughout the country alleging various products liability, tort, fraud, and warranty claims. It is estimated that 105 milli</w:t>
      </w:r>
      <w:r>
        <w:rPr>
          <w:rFonts w:ascii="Times New Roman" w:hAnsi="Times New Roman" w:cs="Times New Roman"/>
          <w:color w:val="000000"/>
          <w:sz w:val="20"/>
          <w:szCs w:val="20"/>
        </w:rPr>
        <w:t>on prescriptions for Vioxx were written in the United States between May 20, 1999 and September 30, 2004. Based on this estimate, it is thought that approximately 20 million patients have taken Vioxx in the United States.</w:t>
      </w:r>
      <w:bookmarkStart w:id="17" w:name="co_footnoteReference_B00332024375594_ID0"/>
      <w:bookmarkEnd w:id="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"#co_footnote_B00332024375594_1"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3</w:t>
      </w:r>
      <w:r>
        <w:rPr>
          <w:rFonts w:ascii="Times New Roman" w:hAnsi="Times New Roman" w:cs="Times New Roman"/>
          <w:color w:val="000000"/>
          <w:sz w:val="16"/>
          <w:szCs w:val="16"/>
        </w:rPr>
        <w:fldChar w:fldCharType="end"/>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8" w:name="co_footnote_B00332024375594_1"/>
          <w:bookmarkEnd w:id="18"/>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"#co_footnoteReference_B00332024375594_ID0"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3</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For a more detailed factual background desc</w:t>
            </w:r>
            <w:r>
              <w:rPr>
                <w:rFonts w:ascii="Times New Roman" w:hAnsi="Times New Roman" w:cs="Times New Roman"/>
                <w:color w:val="000000"/>
                <w:sz w:val="18"/>
                <w:szCs w:val="18"/>
              </w:rPr>
              <w:t xml:space="preserve">ribing the events that took place before the inception of this multidistrict litigation, see </w:t>
            </w:r>
            <w:hyperlink r:id="rId30" w:history="1">
              <w:r>
                <w:rPr>
                  <w:rFonts w:ascii="Times New Roman" w:hAnsi="Times New Roman" w:cs="Times New Roman"/>
                  <w:i/>
                  <w:iCs/>
                  <w:color w:val="000000"/>
                  <w:sz w:val="18"/>
                  <w:szCs w:val="18"/>
                </w:rPr>
                <w:t>In re Vioxx Prods. Liab. Litig.,</w:t>
              </w:r>
              <w:r>
                <w:rPr>
                  <w:rFonts w:ascii="Times New Roman" w:hAnsi="Times New Roman" w:cs="Times New Roman"/>
                  <w:color w:val="000000"/>
                  <w:sz w:val="18"/>
                  <w:szCs w:val="18"/>
                </w:rPr>
                <w:t xml:space="preserve"> 401 F.Supp.2d 565 (E.D.La.2005)</w:t>
              </w:r>
            </w:hyperlink>
            <w:r>
              <w:rPr>
                <w:rFonts w:ascii="Times New Roman" w:hAnsi="Times New Roman" w:cs="Times New Roman"/>
                <w:color w:val="000000"/>
                <w:sz w:val="18"/>
                <w:szCs w:val="18"/>
              </w:rPr>
              <w:t xml:space="preserve"> (resolving </w:t>
            </w:r>
            <w:r>
              <w:rPr>
                <w:rFonts w:ascii="Times New Roman" w:hAnsi="Times New Roman" w:cs="Times New Roman"/>
                <w:i/>
                <w:iCs/>
                <w:color w:val="000000"/>
                <w:sz w:val="18"/>
                <w:szCs w:val="18"/>
              </w:rPr>
              <w:t>Daubert</w:t>
            </w:r>
            <w:r>
              <w:rPr>
                <w:rFonts w:ascii="Times New Roman" w:hAnsi="Times New Roman" w:cs="Times New Roman"/>
                <w:color w:val="000000"/>
                <w:sz w:val="18"/>
                <w:szCs w:val="18"/>
              </w:rPr>
              <w:t xml:space="preserve"> challenges to a number of expert witnesses).</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California was the first state to institute a consolidated state court proceeding on October 30, 2002. New Jersey and Texas soon followed suit, on May 20, 2003 and September 6, 2005, respectively. On February 16, 2005, the Judicial Panel on Multidistrict L</w:t>
      </w:r>
      <w:r>
        <w:rPr>
          <w:rFonts w:ascii="Times New Roman" w:hAnsi="Times New Roman" w:cs="Times New Roman"/>
          <w:color w:val="000000"/>
          <w:sz w:val="20"/>
          <w:szCs w:val="20"/>
        </w:rPr>
        <w:t>itigation (</w:t>
      </w:r>
      <w:r>
        <w:rPr>
          <w:rFonts w:ascii="Times New Roman" w:hAnsi="Times New Roman" w:cs="Times New Roman"/>
          <w:color w:val="000000"/>
          <w:sz w:val="20"/>
          <w:szCs w:val="20"/>
        </w:rPr>
        <w:t>“</w:t>
      </w:r>
      <w:r>
        <w:rPr>
          <w:rFonts w:ascii="Times New Roman" w:hAnsi="Times New Roman" w:cs="Times New Roman"/>
          <w:color w:val="000000"/>
          <w:sz w:val="20"/>
          <w:szCs w:val="20"/>
        </w:rPr>
        <w:t>MDL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conferred MDL status on </w:t>
      </w:r>
      <w:hyperlink r:id="rId31"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lawsuits filed in various federal courts throughout the country and transferred all such cases to this Court to coordinate discovery and to consolidate pretrial matters pursuant to </w:t>
      </w:r>
      <w:hyperlink r:id="rId32" w:history="1">
        <w:r>
          <w:rPr>
            <w:rFonts w:ascii="Times New Roman" w:hAnsi="Times New Roman" w:cs="Times New Roman"/>
            <w:color w:val="000000"/>
            <w:sz w:val="20"/>
            <w:szCs w:val="20"/>
          </w:rPr>
          <w:t xml:space="preserve">28 U.S.C.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1407</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w:t>
      </w:r>
      <w:hyperlink r:id="rId33" w:history="1">
        <w:r>
          <w:rPr>
            <w:rFonts w:ascii="Times New Roman" w:hAnsi="Times New Roman" w:cs="Times New Roman"/>
            <w:i/>
            <w:iCs/>
            <w:color w:val="000000"/>
            <w:sz w:val="20"/>
            <w:szCs w:val="20"/>
          </w:rPr>
          <w:t>In re Vioxx Prods. Liab. Litig.,</w:t>
        </w:r>
        <w:r>
          <w:rPr>
            <w:rFonts w:ascii="Times New Roman" w:hAnsi="Times New Roman" w:cs="Times New Roman"/>
            <w:color w:val="000000"/>
            <w:sz w:val="20"/>
            <w:szCs w:val="20"/>
          </w:rPr>
          <w:t xml:space="preserve"> 360 F.Supp.2d 1352 (J.P.M.L.2005)</w:t>
        </w:r>
      </w:hyperlink>
      <w:r>
        <w:rPr>
          <w:rFonts w:ascii="Times New Roman" w:hAnsi="Times New Roman" w:cs="Times New Roman"/>
          <w:color w:val="000000"/>
          <w:sz w:val="20"/>
          <w:szCs w:val="20"/>
        </w:rPr>
        <w:t>. Even after the creation of this federal MDL, many cases remained pending in the various state courts.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On March 18, 2005, this Court held the first status conference in the </w:t>
      </w:r>
      <w:hyperlink r:id="rId34"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MDL to consider strategies for moving fo</w:t>
      </w:r>
      <w:r>
        <w:rPr>
          <w:rFonts w:ascii="Times New Roman" w:hAnsi="Times New Roman" w:cs="Times New Roman"/>
          <w:color w:val="000000"/>
          <w:sz w:val="20"/>
          <w:szCs w:val="20"/>
        </w:rPr>
        <w:t xml:space="preserve">rward with the proceedings. Shortly thereafter, the Court appointed committees of counsel </w:t>
      </w:r>
      <w:bookmarkStart w:id="19" w:name="co_pp_sp_4637_643_1"/>
      <w:bookmarkEnd w:id="19"/>
      <w:r>
        <w:rPr>
          <w:rFonts w:ascii="Times New Roman" w:hAnsi="Times New Roman" w:cs="Times New Roman"/>
          <w:b/>
          <w:bCs/>
          <w:color w:val="000000"/>
          <w:sz w:val="20"/>
          <w:szCs w:val="20"/>
        </w:rPr>
        <w:t>*643</w:t>
      </w:r>
      <w:r>
        <w:rPr>
          <w:rFonts w:ascii="Times New Roman" w:hAnsi="Times New Roman" w:cs="Times New Roman"/>
          <w:color w:val="000000"/>
          <w:sz w:val="20"/>
          <w:szCs w:val="20"/>
        </w:rPr>
        <w:t xml:space="preserve"> to represent the parties. In addition to a five member Defendants’ Steering Committee, see Pretrial Order No. 7 (Apr. 8, 20</w:t>
      </w:r>
      <w:r>
        <w:rPr>
          <w:rFonts w:ascii="Times New Roman" w:hAnsi="Times New Roman" w:cs="Times New Roman"/>
          <w:color w:val="000000"/>
          <w:sz w:val="20"/>
          <w:szCs w:val="20"/>
        </w:rPr>
        <w:t>05), the Court appointed twelve attorneys to serve on the Plaintiffs’ Steering Committee (</w:t>
      </w:r>
      <w:r>
        <w:rPr>
          <w:rFonts w:ascii="Times New Roman" w:hAnsi="Times New Roman" w:cs="Times New Roman"/>
          <w:color w:val="000000"/>
          <w:sz w:val="20"/>
          <w:szCs w:val="20"/>
        </w:rPr>
        <w:t>“</w:t>
      </w:r>
      <w:r>
        <w:rPr>
          <w:rFonts w:ascii="Times New Roman" w:hAnsi="Times New Roman" w:cs="Times New Roman"/>
          <w:color w:val="000000"/>
          <w:sz w:val="20"/>
          <w:szCs w:val="20"/>
        </w:rPr>
        <w:t>PSC</w:t>
      </w:r>
      <w:r>
        <w:rPr>
          <w:rFonts w:ascii="Times New Roman" w:hAnsi="Times New Roman" w:cs="Times New Roman"/>
          <w:color w:val="000000"/>
          <w:sz w:val="20"/>
          <w:szCs w:val="20"/>
        </w:rPr>
        <w:t>”</w:t>
      </w:r>
      <w:r>
        <w:rPr>
          <w:rFonts w:ascii="Times New Roman" w:hAnsi="Times New Roman" w:cs="Times New Roman"/>
          <w:color w:val="000000"/>
          <w:sz w:val="20"/>
          <w:szCs w:val="20"/>
        </w:rPr>
        <w:t>), see Pretrial Order No. 6 (Apr. 8, 2005).</w:t>
      </w:r>
      <w:bookmarkStart w:id="20" w:name="co_footnoteReference_B00442024375594_ID0"/>
      <w:bookmarkEnd w:id="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"#co_footnote_B0044202437559</w:instrText>
      </w:r>
      <w:r>
        <w:rPr>
          <w:rFonts w:ascii="Times New Roman" w:hAnsi="Times New Roman" w:cs="Times New Roman"/>
          <w:color w:val="000000"/>
          <w:sz w:val="16"/>
          <w:szCs w:val="16"/>
        </w:rPr>
        <w:instrText xml:space="preserve">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Thereafter, the PSC created a number of subcommittees which were tasked with focusing on the many aspects of MDL management.</w:t>
      </w:r>
      <w:bookmarkStart w:id="21" w:name="co_footnoteReference_B00552024375594_ID0"/>
      <w:bookmarkEnd w:id="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"#co_footnote_B00552024375594_1"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Membership on these subcommittees was open to all attorneys who had clients and wanted to participate and was not limited to the members of the Steering Committee.</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2" w:name="co_footnote_B00442024375594_1"/>
          <w:bookmarkEnd w:id="22"/>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w:instrText>
            </w:r>
            <w:r>
              <w:rPr>
                <w:rFonts w:ascii="Times New Roman" w:hAnsi="Times New Roman" w:cs="Times New Roman"/>
                <w:color w:val="000000"/>
                <w:sz w:val="20"/>
                <w:szCs w:val="20"/>
              </w:rPr>
              <w:instrText xml:space="preserve">erence_B00442024375594_ID0"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4</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Some have suggested that the attorneys themselves should select the Plaintiffs’ Steering Committee with the attorney with the largest number of plaintiff cases having the laboring oar.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Charles Silver &amp; Geoffrey P. Mill</w:t>
            </w:r>
            <w:r>
              <w:rPr>
                <w:rFonts w:ascii="Times New Roman" w:hAnsi="Times New Roman" w:cs="Times New Roman"/>
                <w:color w:val="000000"/>
                <w:sz w:val="18"/>
                <w:szCs w:val="18"/>
              </w:rPr>
              <w:t xml:space="preserve">er, </w:t>
            </w:r>
            <w:r>
              <w:rPr>
                <w:rFonts w:ascii="Times New Roman" w:hAnsi="Times New Roman" w:cs="Times New Roman"/>
                <w:i/>
                <w:iCs/>
                <w:color w:val="000000"/>
                <w:sz w:val="18"/>
                <w:szCs w:val="18"/>
              </w:rPr>
              <w:t xml:space="preserve">The </w:t>
            </w:r>
            <w:hyperlink r:id="rId35" w:history="1">
              <w:r>
                <w:rPr>
                  <w:rFonts w:ascii="Times New Roman" w:hAnsi="Times New Roman" w:cs="Times New Roman"/>
                  <w:i/>
                  <w:iCs/>
                  <w:color w:val="000000"/>
                  <w:sz w:val="18"/>
                  <w:szCs w:val="18"/>
                </w:rPr>
                <w:t>Quasi</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Class Action Method of Managing Multi</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District Litigations: Problems and a Proposal,</w:t>
              </w:r>
              <w:r>
                <w:rPr>
                  <w:rFonts w:ascii="Times New Roman" w:hAnsi="Times New Roman" w:cs="Times New Roman"/>
                  <w:color w:val="000000"/>
                  <w:sz w:val="18"/>
                  <w:szCs w:val="18"/>
                </w:rPr>
                <w:t xml:space="preserve"> 63 Vand. L. Rev. 107, 159</w:t>
              </w:r>
              <w:r>
                <w:rPr>
                  <w:rFonts w:ascii="Times New Roman" w:hAnsi="Times New Roman" w:cs="Times New Roman"/>
                  <w:color w:val="000000"/>
                  <w:sz w:val="18"/>
                  <w:szCs w:val="18"/>
                </w:rPr>
                <w:t>–</w:t>
              </w:r>
              <w:r>
                <w:rPr>
                  <w:rFonts w:ascii="Times New Roman" w:hAnsi="Times New Roman" w:cs="Times New Roman"/>
                  <w:color w:val="000000"/>
                  <w:sz w:val="18"/>
                  <w:szCs w:val="18"/>
                </w:rPr>
                <w:t>77 (2010)</w:t>
              </w:r>
            </w:hyperlink>
            <w:r>
              <w:rPr>
                <w:rFonts w:ascii="Times New Roman" w:hAnsi="Times New Roman" w:cs="Times New Roman"/>
                <w:color w:val="000000"/>
                <w:sz w:val="18"/>
                <w:szCs w:val="18"/>
              </w:rPr>
              <w:t xml:space="preserve">. But the experience of the MDL courts suggest otherwise.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Carolyn A. Dubay, Federal Judicial Center, </w:t>
            </w:r>
            <w:r>
              <w:rPr>
                <w:rFonts w:ascii="Times New Roman" w:hAnsi="Times New Roman" w:cs="Times New Roman"/>
                <w:i/>
                <w:iCs/>
                <w:color w:val="000000"/>
                <w:sz w:val="18"/>
                <w:szCs w:val="18"/>
              </w:rPr>
              <w:t>Trends and Problems in the Appointment and Compensation of Common Benefit Counsel in Complex Multi</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District Litigation: An Empirical Study of Ten Mega MDLs</w:t>
            </w:r>
            <w:r>
              <w:rPr>
                <w:rFonts w:ascii="Times New Roman" w:hAnsi="Times New Roman" w:cs="Times New Roman"/>
                <w:color w:val="000000"/>
                <w:sz w:val="18"/>
                <w:szCs w:val="18"/>
              </w:rPr>
              <w:t xml:space="preserve"> (forthcoming) (July 2010 manuscript at 59). Having a lar</w:t>
            </w:r>
            <w:r>
              <w:rPr>
                <w:rFonts w:ascii="Times New Roman" w:hAnsi="Times New Roman" w:cs="Times New Roman"/>
                <w:color w:val="000000"/>
                <w:sz w:val="18"/>
                <w:szCs w:val="18"/>
              </w:rPr>
              <w:t>ge number of cases in the MDL often indicates skill at advertising, but does not guarantee the best lawyering or even the selection of those best suited to handle the matter in a cooperative endeavor which is crucial for MDL proceedings. The ability to wor</w:t>
            </w:r>
            <w:r>
              <w:rPr>
                <w:rFonts w:ascii="Times New Roman" w:hAnsi="Times New Roman" w:cs="Times New Roman"/>
                <w:color w:val="000000"/>
                <w:sz w:val="18"/>
                <w:szCs w:val="18"/>
              </w:rPr>
              <w:t>k in a team setting tends to be more difficult for the plaintiff bar than for defense attorneys. But the efficient and successful resolution of an MDL is dependent on coordination and cooperation of lead counsel for all sides. There is room for both vigoro</w:t>
            </w:r>
            <w:r>
              <w:rPr>
                <w:rFonts w:ascii="Times New Roman" w:hAnsi="Times New Roman" w:cs="Times New Roman"/>
                <w:color w:val="000000"/>
                <w:sz w:val="18"/>
                <w:szCs w:val="18"/>
              </w:rPr>
              <w:t xml:space="preserve">us advocacy and professional cooperation. </w:t>
            </w:r>
            <w:r>
              <w:rPr>
                <w:rFonts w:ascii="Times New Roman" w:hAnsi="Times New Roman" w:cs="Times New Roman"/>
                <w:i/>
                <w:iCs/>
                <w:color w:val="000000"/>
                <w:sz w:val="18"/>
                <w:szCs w:val="18"/>
              </w:rPr>
              <w:t>See, e.g., The Sedona Conference Cooperation Proclamation</w:t>
            </w:r>
            <w:r>
              <w:rPr>
                <w:rFonts w:ascii="Times New Roman" w:hAnsi="Times New Roman" w:cs="Times New Roman"/>
                <w:color w:val="000000"/>
                <w:sz w:val="18"/>
                <w:szCs w:val="18"/>
              </w:rPr>
              <w:t xml:space="preserve"> (2008), available at http://www.thesedonaconference. org/content/tsc_cooperation_proclamation/proclamation.pdf. In an MDL setting where there can be a thous</w:t>
            </w:r>
            <w:r>
              <w:rPr>
                <w:rFonts w:ascii="Times New Roman" w:hAnsi="Times New Roman" w:cs="Times New Roman"/>
                <w:color w:val="000000"/>
                <w:sz w:val="18"/>
                <w:szCs w:val="18"/>
              </w:rPr>
              <w:t xml:space="preserve">and plaintiffs’ attorneys it not only takes a good lawyer to qualify for lead or liaison counsel but one who has the diplomatic skills to coordinate the efforts of a diverse group. Selecting lead and liaison counsel by a neutral party such as an MDL judge </w:t>
            </w:r>
            <w:r>
              <w:rPr>
                <w:rFonts w:ascii="Times New Roman" w:hAnsi="Times New Roman" w:cs="Times New Roman"/>
                <w:color w:val="000000"/>
                <w:sz w:val="18"/>
                <w:szCs w:val="18"/>
              </w:rPr>
              <w:t>may not be the best method but as between it and the selection by other counsel it is the better way. Moreover, the selection of lead counsel by their fellow attorneys would involve intrigue and side agreements which would make MacBeth appear to be a juven</w:t>
            </w:r>
            <w:r>
              <w:rPr>
                <w:rFonts w:ascii="Times New Roman" w:hAnsi="Times New Roman" w:cs="Times New Roman"/>
                <w:color w:val="000000"/>
                <w:sz w:val="18"/>
                <w:szCs w:val="18"/>
              </w:rPr>
              <w:t>ile manipulator. Frequently, recommendations by attorneys for positions on leadership committees are governed more on friendship, past commitments and future hopes than on current issues.</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3" w:name="co_footnote_B00552024375594_1"/>
          <w:bookmarkEnd w:id="23"/>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w:instrText>
            </w:r>
            <w:r>
              <w:rPr>
                <w:rFonts w:ascii="Times New Roman" w:hAnsi="Times New Roman" w:cs="Times New Roman"/>
                <w:color w:val="000000"/>
                <w:sz w:val="20"/>
                <w:szCs w:val="20"/>
              </w:rPr>
              <w:instrText xml:space="preserve">NK "#co_footnoteReference_B00552024375594_ID0"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5</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The various consolidated state court proceedings also established similar management structures to coordinate the litigation.</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Furthermore, to give transparency to this litigation, the Court created a web site accessible to all counsel and the public at large. All motions, Court orders, opinions, recent developments, a calendar of scheduled events, and various other matters were p</w:t>
      </w:r>
      <w:r>
        <w:rPr>
          <w:rFonts w:ascii="Times New Roman" w:hAnsi="Times New Roman" w:cs="Times New Roman"/>
          <w:color w:val="000000"/>
          <w:sz w:val="20"/>
          <w:szCs w:val="20"/>
        </w:rPr>
        <w:t>osted on this web site.</w:t>
      </w:r>
      <w:bookmarkStart w:id="24" w:name="co_footnoteReference_B00662024375594_ID0"/>
      <w:bookmarkEnd w:id="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"#co_footnote_B00662024375594_1"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Throughout the litigation monthly status conferences were held in open court. Notice of the meetings were</w:t>
      </w:r>
      <w:r>
        <w:rPr>
          <w:rFonts w:ascii="Times New Roman" w:hAnsi="Times New Roman" w:cs="Times New Roman"/>
          <w:color w:val="000000"/>
          <w:sz w:val="20"/>
          <w:szCs w:val="20"/>
        </w:rPr>
        <w:t xml:space="preserve"> posted on the web site and were open to all. Transcripts of these conferences were posted on the Court’s web site for those who could not attend.</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5" w:name="co_footnote_B00662024375594_1"/>
          <w:bookmarkEnd w:id="25"/>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"#co_footnoteReference_B00662024375594_</w:instrText>
            </w:r>
            <w:r>
              <w:rPr>
                <w:rFonts w:ascii="Times New Roman" w:hAnsi="Times New Roman" w:cs="Times New Roman"/>
                <w:color w:val="000000"/>
                <w:sz w:val="20"/>
                <w:szCs w:val="20"/>
              </w:rPr>
              <w:instrText xml:space="preserve">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6</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i/>
                <w:iCs/>
                <w:color w:val="000000"/>
                <w:sz w:val="18"/>
                <w:szCs w:val="18"/>
              </w:rPr>
              <w:t>MDL</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1657 Vioxx Products Liability Litigation,</w:t>
            </w:r>
            <w:r>
              <w:rPr>
                <w:rFonts w:ascii="Times New Roman" w:hAnsi="Times New Roman" w:cs="Times New Roman"/>
                <w:color w:val="000000"/>
                <w:sz w:val="18"/>
                <w:szCs w:val="18"/>
              </w:rPr>
              <w:t xml:space="preserve"> http://vioxx. laed.uscourts.gov/.</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On April 8, 2005, the Court appointed a CPA to record and review the submissions of common benefit counsel in this MDL.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Pretrial Order No. 6 (Apr. 8, 2005). T</w:t>
      </w:r>
      <w:r>
        <w:rPr>
          <w:rFonts w:ascii="Times New Roman" w:hAnsi="Times New Roman" w:cs="Times New Roman"/>
          <w:color w:val="000000"/>
          <w:sz w:val="20"/>
          <w:szCs w:val="20"/>
        </w:rPr>
        <w:t>hose doing common benefit work and incurring common benefit expenses were ordered to report the hours and expenses to the Court-appointed CPA. Subsequently, the Court entered Pretrial Order No. 19, which established a Plaintiffs’ Litigation Expense Fund to</w:t>
      </w:r>
      <w:r>
        <w:rPr>
          <w:rFonts w:ascii="Times New Roman" w:hAnsi="Times New Roman" w:cs="Times New Roman"/>
          <w:color w:val="000000"/>
          <w:sz w:val="20"/>
          <w:szCs w:val="20"/>
        </w:rPr>
        <w:t xml:space="preserve"> compensate and reimburse attorneys for services performed and expenses incurred for the common benefit. Pursuant to this Order, any case that was settled, compromised, dismissed, or otherwise reduced to judgment for monetary relief, with or without trial,</w:t>
      </w:r>
      <w:r>
        <w:rPr>
          <w:rFonts w:ascii="Times New Roman" w:hAnsi="Times New Roman" w:cs="Times New Roman"/>
          <w:color w:val="000000"/>
          <w:sz w:val="20"/>
          <w:szCs w:val="20"/>
        </w:rPr>
        <w:t xml:space="preserve"> was subject to an assessment. In order to avail </w:t>
      </w:r>
      <w:bookmarkStart w:id="26" w:name="co_pp_sp_4637_644_1"/>
      <w:bookmarkEnd w:id="26"/>
      <w:r>
        <w:rPr>
          <w:rFonts w:ascii="Times New Roman" w:hAnsi="Times New Roman" w:cs="Times New Roman"/>
          <w:b/>
          <w:bCs/>
          <w:color w:val="000000"/>
          <w:sz w:val="20"/>
          <w:szCs w:val="20"/>
        </w:rPr>
        <w:t>*644</w:t>
      </w:r>
      <w:r>
        <w:rPr>
          <w:rFonts w:ascii="Times New Roman" w:hAnsi="Times New Roman" w:cs="Times New Roman"/>
          <w:color w:val="000000"/>
          <w:sz w:val="20"/>
          <w:szCs w:val="20"/>
        </w:rPr>
        <w:t xml:space="preserve"> themselves of the initial work of the common benefit attorneys, individual plaintiffs’</w:t>
      </w:r>
      <w:r>
        <w:rPr>
          <w:rFonts w:ascii="Times New Roman" w:hAnsi="Times New Roman" w:cs="Times New Roman"/>
          <w:color w:val="000000"/>
          <w:sz w:val="20"/>
          <w:szCs w:val="20"/>
        </w:rPr>
        <w:t xml:space="preserve"> counsel could, for a limited time, enter into a contract that was to dictate the assessment amount. The </w:t>
      </w:r>
      <w:r>
        <w:rPr>
          <w:rFonts w:ascii="Times New Roman" w:hAnsi="Times New Roman" w:cs="Times New Roman"/>
          <w:color w:val="000000"/>
          <w:sz w:val="20"/>
          <w:szCs w:val="20"/>
        </w:rPr>
        <w:t>“</w:t>
      </w:r>
      <w:r>
        <w:rPr>
          <w:rFonts w:ascii="Times New Roman" w:hAnsi="Times New Roman" w:cs="Times New Roman"/>
          <w:color w:val="000000"/>
          <w:sz w:val="20"/>
          <w:szCs w:val="20"/>
        </w:rPr>
        <w:t>Full Participation Option,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which was one such option, established an assessment of 2% of the recovery for fees and 1% of the recovery for costs.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Pretrial Order No. 19 (Aug. 4, 2005). Counsel were able to select the </w:t>
      </w:r>
      <w:r>
        <w:rPr>
          <w:rFonts w:ascii="Times New Roman" w:hAnsi="Times New Roman" w:cs="Times New Roman"/>
          <w:color w:val="000000"/>
          <w:sz w:val="20"/>
          <w:szCs w:val="20"/>
        </w:rPr>
        <w:t>“</w:t>
      </w:r>
      <w:r>
        <w:rPr>
          <w:rFonts w:ascii="Times New Roman" w:hAnsi="Times New Roman" w:cs="Times New Roman"/>
          <w:color w:val="000000"/>
          <w:sz w:val="20"/>
          <w:szCs w:val="20"/>
        </w:rPr>
        <w:t>Full Participation Option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within 90 days of the entry of Pretrial Order 19. Following that period, counsel could accept a </w:t>
      </w:r>
      <w:r>
        <w:rPr>
          <w:rFonts w:ascii="Times New Roman" w:hAnsi="Times New Roman" w:cs="Times New Roman"/>
          <w:color w:val="000000"/>
          <w:sz w:val="20"/>
          <w:szCs w:val="20"/>
        </w:rPr>
        <w:t>“</w:t>
      </w:r>
      <w:r>
        <w:rPr>
          <w:rFonts w:ascii="Times New Roman" w:hAnsi="Times New Roman" w:cs="Times New Roman"/>
          <w:color w:val="000000"/>
          <w:sz w:val="20"/>
          <w:szCs w:val="20"/>
        </w:rPr>
        <w:t>Traditional Assessment Option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providing for 6% assessment of</w:t>
      </w:r>
      <w:r>
        <w:rPr>
          <w:rFonts w:ascii="Times New Roman" w:hAnsi="Times New Roman" w:cs="Times New Roman"/>
          <w:color w:val="000000"/>
          <w:sz w:val="20"/>
          <w:szCs w:val="20"/>
        </w:rPr>
        <w:t xml:space="preserve"> recoveries in MDL cases and 4% assessment of recoveries in state court cases.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Discovery rapidly commenced. The common benefit attorneys were responsible for all aspects of pre-trial preparation, including document discovery, the taking of depositions, p</w:t>
      </w:r>
      <w:r>
        <w:rPr>
          <w:rFonts w:ascii="Times New Roman" w:hAnsi="Times New Roman" w:cs="Times New Roman"/>
          <w:color w:val="000000"/>
          <w:sz w:val="20"/>
          <w:szCs w:val="20"/>
        </w:rPr>
        <w:t>reparation of experts, motions practice, and to some extent, coordination of federal and state court proceedings. Millions of documents were discovered and collated. Thousands of depositions were taken and at least 1,000 discovery motions were argued. Afte</w:t>
      </w:r>
      <w:r>
        <w:rPr>
          <w:rFonts w:ascii="Times New Roman" w:hAnsi="Times New Roman" w:cs="Times New Roman"/>
          <w:color w:val="000000"/>
          <w:sz w:val="20"/>
          <w:szCs w:val="20"/>
        </w:rPr>
        <w:t xml:space="preserve">r a reasonable </w:t>
      </w:r>
      <w:r>
        <w:rPr>
          <w:rFonts w:ascii="Times New Roman" w:hAnsi="Times New Roman" w:cs="Times New Roman"/>
          <w:color w:val="000000"/>
          <w:sz w:val="20"/>
          <w:szCs w:val="20"/>
        </w:rPr>
        <w:t>period for discovery, the Court assisted the parties in selecting and preparing certain test cases to proceed as bellwether trials. Additionally, similar trials were scheduled in state court.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Court conducted six </w:t>
      </w:r>
      <w:hyperlink r:id="rId36"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bellwether trials.</w:t>
      </w:r>
      <w:bookmarkStart w:id="27" w:name="co_footnoteReference_B00772024375594_ID0"/>
      <w:bookmarkEnd w:id="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"#co_footnote_B00772024375594_1"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first of the bellwether trials took place in Houston, Texas, while this Court was displaced following Hurricane Katrina. The five subsequent bellwether trials</w:t>
      </w:r>
      <w:r>
        <w:rPr>
          <w:rFonts w:ascii="Times New Roman" w:hAnsi="Times New Roman" w:cs="Times New Roman"/>
          <w:color w:val="000000"/>
          <w:sz w:val="20"/>
          <w:szCs w:val="20"/>
        </w:rPr>
        <w:t xml:space="preserve"> took place in New Orleans, Louisiana. Only one of the trials resulted in a verdict for the plaintiff. Of the five remaining trials, one resulted in a hung jury and four resulted in verdicts for the defendant. During the same period that this Court was con</w:t>
      </w:r>
      <w:r>
        <w:rPr>
          <w:rFonts w:ascii="Times New Roman" w:hAnsi="Times New Roman" w:cs="Times New Roman"/>
          <w:color w:val="000000"/>
          <w:sz w:val="20"/>
          <w:szCs w:val="20"/>
        </w:rPr>
        <w:t>ducting six bellwether trials, approximately thirteen additional Vioxx-related cases were tried before juries in the state courts of Texas, New Jersey, California, Alabama, Illinois, and Florida. With the benefit of experience from these bellwether trials,</w:t>
      </w:r>
      <w:r>
        <w:rPr>
          <w:rFonts w:ascii="Times New Roman" w:hAnsi="Times New Roman" w:cs="Times New Roman"/>
          <w:color w:val="000000"/>
          <w:sz w:val="20"/>
          <w:szCs w:val="20"/>
        </w:rPr>
        <w:t xml:space="preserve"> as well as the encouragement of the several coordinated courts,</w:t>
      </w:r>
      <w:bookmarkStart w:id="28" w:name="co_footnoteReference_B00882024375594_ID0"/>
      <w:bookmarkEnd w:id="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"#co_footnote_B00882024375594_1"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parties soon began settlement discussions in earnest.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9" w:name="co_footnote_B00772024375594_1"/>
          <w:bookmarkEnd w:id="29"/>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"#co_footnoteReference_B00772024375594_ID0"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7</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 Plunkett v. Merck &amp; Co.,</w:t>
            </w:r>
            <w:r>
              <w:rPr>
                <w:rFonts w:ascii="Times New Roman" w:hAnsi="Times New Roman" w:cs="Times New Roman"/>
                <w:color w:val="000000"/>
                <w:sz w:val="18"/>
                <w:szCs w:val="18"/>
              </w:rPr>
              <w:t xml:space="preserve"> No. 05</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4046 (E.D. La. Filed Aug. 23, 2005) (comprising both the first and second bellwether trials, as the first </w:t>
            </w:r>
            <w:r>
              <w:rPr>
                <w:rFonts w:ascii="Times New Roman" w:hAnsi="Times New Roman" w:cs="Times New Roman"/>
                <w:color w:val="000000"/>
                <w:sz w:val="18"/>
                <w:szCs w:val="18"/>
              </w:rPr>
              <w:t xml:space="preserve">trial resulted in a hung jury); </w:t>
            </w:r>
            <w:r>
              <w:rPr>
                <w:rFonts w:ascii="Times New Roman" w:hAnsi="Times New Roman" w:cs="Times New Roman"/>
                <w:i/>
                <w:iCs/>
                <w:color w:val="000000"/>
                <w:sz w:val="18"/>
                <w:szCs w:val="18"/>
              </w:rPr>
              <w:t>Barnett v. Merck &amp; Co.,</w:t>
            </w:r>
            <w:r>
              <w:rPr>
                <w:rFonts w:ascii="Times New Roman" w:hAnsi="Times New Roman" w:cs="Times New Roman"/>
                <w:color w:val="000000"/>
                <w:sz w:val="18"/>
                <w:szCs w:val="18"/>
              </w:rPr>
              <w:t xml:space="preserve"> No. 06</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485 (E.D. La. Filed Jan. 31, 2006) (third bellwether trial); </w:t>
            </w:r>
            <w:r>
              <w:rPr>
                <w:rFonts w:ascii="Times New Roman" w:hAnsi="Times New Roman" w:cs="Times New Roman"/>
                <w:i/>
                <w:iCs/>
                <w:color w:val="000000"/>
                <w:sz w:val="18"/>
                <w:szCs w:val="18"/>
              </w:rPr>
              <w:t>Smith v. Merck &amp; Co.,</w:t>
            </w:r>
            <w:r>
              <w:rPr>
                <w:rFonts w:ascii="Times New Roman" w:hAnsi="Times New Roman" w:cs="Times New Roman"/>
                <w:color w:val="000000"/>
                <w:sz w:val="18"/>
                <w:szCs w:val="18"/>
              </w:rPr>
              <w:t xml:space="preserve"> No. 05</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4379 (E.D. La. Filed Sept. 29, 2005) (fourth bellwether trial); </w:t>
            </w:r>
            <w:r>
              <w:rPr>
                <w:rFonts w:ascii="Times New Roman" w:hAnsi="Times New Roman" w:cs="Times New Roman"/>
                <w:i/>
                <w:iCs/>
                <w:color w:val="000000"/>
                <w:sz w:val="18"/>
                <w:szCs w:val="18"/>
              </w:rPr>
              <w:t>Mason v. Merck &amp; Co.,</w:t>
            </w:r>
            <w:r>
              <w:rPr>
                <w:rFonts w:ascii="Times New Roman" w:hAnsi="Times New Roman" w:cs="Times New Roman"/>
                <w:color w:val="000000"/>
                <w:sz w:val="18"/>
                <w:szCs w:val="18"/>
              </w:rPr>
              <w:t xml:space="preserve"> No. 06</w:t>
            </w:r>
            <w:r>
              <w:rPr>
                <w:rFonts w:ascii="Times New Roman" w:hAnsi="Times New Roman" w:cs="Times New Roman"/>
                <w:color w:val="000000"/>
                <w:sz w:val="18"/>
                <w:szCs w:val="18"/>
              </w:rPr>
              <w:t>–</w:t>
            </w:r>
            <w:r>
              <w:rPr>
                <w:rFonts w:ascii="Times New Roman" w:hAnsi="Times New Roman" w:cs="Times New Roman"/>
                <w:color w:val="000000"/>
                <w:sz w:val="18"/>
                <w:szCs w:val="18"/>
              </w:rPr>
              <w:t>0810 (E.D.</w:t>
            </w:r>
            <w:r>
              <w:rPr>
                <w:rFonts w:ascii="Times New Roman" w:hAnsi="Times New Roman" w:cs="Times New Roman"/>
                <w:color w:val="000000"/>
                <w:sz w:val="18"/>
                <w:szCs w:val="18"/>
              </w:rPr>
              <w:t xml:space="preserve">La. Filed Feb. 16, 2006) (fifth bellwether trial); </w:t>
            </w:r>
            <w:r>
              <w:rPr>
                <w:rFonts w:ascii="Times New Roman" w:hAnsi="Times New Roman" w:cs="Times New Roman"/>
                <w:i/>
                <w:iCs/>
                <w:color w:val="000000"/>
                <w:sz w:val="18"/>
                <w:szCs w:val="18"/>
              </w:rPr>
              <w:t>Dedrick v. Merck &amp; Co.,</w:t>
            </w:r>
            <w:r>
              <w:rPr>
                <w:rFonts w:ascii="Times New Roman" w:hAnsi="Times New Roman" w:cs="Times New Roman"/>
                <w:color w:val="000000"/>
                <w:sz w:val="18"/>
                <w:szCs w:val="18"/>
              </w:rPr>
              <w:t xml:space="preserve"> No. 05</w:t>
            </w:r>
            <w:r>
              <w:rPr>
                <w:rFonts w:ascii="Times New Roman" w:hAnsi="Times New Roman" w:cs="Times New Roman"/>
                <w:color w:val="000000"/>
                <w:sz w:val="18"/>
                <w:szCs w:val="18"/>
              </w:rPr>
              <w:t>–</w:t>
            </w:r>
            <w:r>
              <w:rPr>
                <w:rFonts w:ascii="Times New Roman" w:hAnsi="Times New Roman" w:cs="Times New Roman"/>
                <w:color w:val="000000"/>
                <w:sz w:val="18"/>
                <w:szCs w:val="18"/>
              </w:rPr>
              <w:t>2524 (E.D. La. Filed June 21, 2005) (sixth bellwether trial).</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0" w:name="co_footnote_B00882024375594_1"/>
          <w:bookmarkEnd w:id="30"/>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"#co_footnoteReference_B00882024375594_ID0"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8</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The Court once again expresses its thanks to Judge Carol E. Higbee of the Superior Court of New Jersey, Judge Victoria Chaney of the Superior Court of Los Angeles County in California, and Judge R</w:t>
            </w:r>
            <w:r>
              <w:rPr>
                <w:rFonts w:ascii="Times New Roman" w:hAnsi="Times New Roman" w:cs="Times New Roman"/>
                <w:color w:val="000000"/>
                <w:sz w:val="18"/>
                <w:szCs w:val="18"/>
              </w:rPr>
              <w:t>andy Wilson of the 157th Civil District Court of Harris County, Texas for their efforts in bringing this litigation to completion.</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Court appointed Negotiating Plaintiffs’ Counsel (</w:t>
      </w:r>
      <w:r>
        <w:rPr>
          <w:rFonts w:ascii="Times New Roman" w:hAnsi="Times New Roman" w:cs="Times New Roman"/>
          <w:color w:val="000000"/>
          <w:sz w:val="20"/>
          <w:szCs w:val="20"/>
        </w:rPr>
        <w:t>“</w:t>
      </w:r>
      <w:r>
        <w:rPr>
          <w:rFonts w:ascii="Times New Roman" w:hAnsi="Times New Roman" w:cs="Times New Roman"/>
          <w:color w:val="000000"/>
          <w:sz w:val="20"/>
          <w:szCs w:val="20"/>
        </w:rPr>
        <w:t>the NPC</w:t>
      </w:r>
      <w:r>
        <w:rPr>
          <w:rFonts w:ascii="Times New Roman" w:hAnsi="Times New Roman" w:cs="Times New Roman"/>
          <w:color w:val="000000"/>
          <w:sz w:val="20"/>
          <w:szCs w:val="20"/>
        </w:rPr>
        <w:t>”</w:t>
      </w:r>
      <w:r>
        <w:rPr>
          <w:rFonts w:ascii="Times New Roman" w:hAnsi="Times New Roman" w:cs="Times New Roman"/>
          <w:color w:val="000000"/>
          <w:sz w:val="20"/>
          <w:szCs w:val="20"/>
        </w:rPr>
        <w:t>) to explore and engage in settlement discussions with Merck</w:t>
      </w:r>
      <w:r>
        <w:rPr>
          <w:rFonts w:ascii="Times New Roman" w:hAnsi="Times New Roman" w:cs="Times New Roman"/>
          <w:color w:val="000000"/>
          <w:sz w:val="20"/>
          <w:szCs w:val="20"/>
        </w:rPr>
        <w:t>. Counsel for Merck and the NPC met together more than fifty times and held several hundred telephone conferences. Although the parties met and negotiated independently, they kept this Court and the coordinate state courts of Texas, New Jersey, and Califor</w:t>
      </w:r>
      <w:r>
        <w:rPr>
          <w:rFonts w:ascii="Times New Roman" w:hAnsi="Times New Roman" w:cs="Times New Roman"/>
          <w:color w:val="000000"/>
          <w:sz w:val="20"/>
          <w:szCs w:val="20"/>
        </w:rPr>
        <w:t>nia informed of their progress in settlement discussions.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20"/>
          <w:szCs w:val="20"/>
        </w:rPr>
        <w:lastRenderedPageBreak/>
        <w:t xml:space="preserve">On November 9, 2007, Merck and the NPC formally announced that they had reached a Settlement Agreement.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Settlement Agreement, </w:t>
      </w:r>
      <w:r>
        <w:rPr>
          <w:rFonts w:ascii="Times New Roman" w:hAnsi="Times New Roman" w:cs="Times New Roman"/>
          <w:i/>
          <w:iCs/>
          <w:color w:val="000000"/>
          <w:sz w:val="20"/>
          <w:szCs w:val="20"/>
        </w:rPr>
        <w:t>In re Vioxx Prods. Liab. Litig.,</w:t>
      </w:r>
      <w:r>
        <w:rPr>
          <w:rFonts w:ascii="Times New Roman" w:hAnsi="Times New Roman" w:cs="Times New Roman"/>
          <w:color w:val="000000"/>
          <w:sz w:val="20"/>
          <w:szCs w:val="20"/>
        </w:rPr>
        <w:t xml:space="preserve"> MDL 1657 (E.D.La. Nov. 9, 2007) (</w:t>
      </w:r>
      <w:r>
        <w:rPr>
          <w:rFonts w:ascii="Times New Roman" w:hAnsi="Times New Roman" w:cs="Times New Roman"/>
          <w:color w:val="000000"/>
          <w:sz w:val="20"/>
          <w:szCs w:val="20"/>
        </w:rPr>
        <w:t>“</w:t>
      </w:r>
      <w:r>
        <w:rPr>
          <w:rFonts w:ascii="Times New Roman" w:hAnsi="Times New Roman" w:cs="Times New Roman"/>
          <w:color w:val="000000"/>
          <w:sz w:val="20"/>
          <w:szCs w:val="20"/>
        </w:rPr>
        <w:t>Settlement Agreement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bookmarkStart w:id="31" w:name="co_pp_sp_4637_645_1"/>
      <w:bookmarkEnd w:id="31"/>
      <w:r>
        <w:rPr>
          <w:rFonts w:ascii="Times New Roman" w:hAnsi="Times New Roman" w:cs="Times New Roman"/>
          <w:b/>
          <w:bCs/>
          <w:color w:val="000000"/>
          <w:sz w:val="20"/>
          <w:szCs w:val="20"/>
        </w:rPr>
        <w:t>*645</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MSA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available at http://www.browngreer.com/vioxxsettlement.</w:t>
      </w:r>
      <w:r>
        <w:rPr>
          <w:rFonts w:ascii="Times New Roman" w:hAnsi="Times New Roman" w:cs="Times New Roman"/>
          <w:color w:val="000000"/>
          <w:sz w:val="20"/>
          <w:szCs w:val="20"/>
        </w:rPr>
        <w:t xml:space="preserve"> The private Settlement Agreement establishes a pre-funded program for resolving pending or tolled state and federal </w:t>
      </w:r>
      <w:hyperlink r:id="rId37"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claims against Merck as of the date o</w:t>
      </w:r>
      <w:r>
        <w:rPr>
          <w:rFonts w:ascii="Times New Roman" w:hAnsi="Times New Roman" w:cs="Times New Roman"/>
          <w:color w:val="000000"/>
          <w:sz w:val="20"/>
          <w:szCs w:val="20"/>
        </w:rPr>
        <w:t xml:space="preserve">f the settlement, involving claims of </w:t>
      </w:r>
      <w:hyperlink r:id="rId38" w:history="1">
        <w:r>
          <w:rPr>
            <w:rFonts w:ascii="Times New Roman" w:hAnsi="Times New Roman" w:cs="Times New Roman"/>
            <w:color w:val="000000"/>
            <w:sz w:val="20"/>
            <w:szCs w:val="20"/>
          </w:rPr>
          <w:t>heart attack</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MI</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ischemic </w:t>
      </w:r>
      <w:hyperlink r:id="rId39" w:history="1">
        <w:r>
          <w:rPr>
            <w:rFonts w:ascii="Times New Roman" w:hAnsi="Times New Roman" w:cs="Times New Roman"/>
            <w:color w:val="000000"/>
            <w:sz w:val="20"/>
            <w:szCs w:val="20"/>
          </w:rPr>
          <w:t>str</w:t>
        </w:r>
        <w:r>
          <w:rPr>
            <w:rFonts w:ascii="Times New Roman" w:hAnsi="Times New Roman" w:cs="Times New Roman"/>
            <w:color w:val="000000"/>
            <w:sz w:val="20"/>
            <w:szCs w:val="20"/>
          </w:rPr>
          <w:t>oke</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IS</w:t>
      </w:r>
      <w:r>
        <w:rPr>
          <w:rFonts w:ascii="Times New Roman" w:hAnsi="Times New Roman" w:cs="Times New Roman"/>
          <w:color w:val="000000"/>
          <w:sz w:val="20"/>
          <w:szCs w:val="20"/>
        </w:rPr>
        <w:t>”</w:t>
      </w:r>
      <w:r>
        <w:rPr>
          <w:rFonts w:ascii="Times New Roman" w:hAnsi="Times New Roman" w:cs="Times New Roman"/>
          <w:color w:val="000000"/>
          <w:sz w:val="20"/>
          <w:szCs w:val="20"/>
        </w:rPr>
        <w:t>), and sudden cardiac death (</w:t>
      </w:r>
      <w:r>
        <w:rPr>
          <w:rFonts w:ascii="Times New Roman" w:hAnsi="Times New Roman" w:cs="Times New Roman"/>
          <w:color w:val="000000"/>
          <w:sz w:val="20"/>
          <w:szCs w:val="20"/>
        </w:rPr>
        <w:t>“</w:t>
      </w:r>
      <w:r>
        <w:rPr>
          <w:rFonts w:ascii="Times New Roman" w:hAnsi="Times New Roman" w:cs="Times New Roman"/>
          <w:color w:val="000000"/>
          <w:sz w:val="20"/>
          <w:szCs w:val="20"/>
        </w:rPr>
        <w:t>SCD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an overall amount of $4.85 billion.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Recitals</w:t>
      </w:r>
      <w:r>
        <w:rPr>
          <w:rFonts w:ascii="Times New Roman" w:hAnsi="Times New Roman" w:cs="Times New Roman"/>
          <w:color w:val="000000"/>
          <w:sz w:val="20"/>
          <w:szCs w:val="20"/>
        </w:rPr>
        <w:t>”</w:t>
      </w:r>
      <w:r>
        <w:rPr>
          <w:rFonts w:ascii="Times New Roman" w:hAnsi="Times New Roman" w:cs="Times New Roman"/>
          <w:color w:val="000000"/>
          <w:sz w:val="20"/>
          <w:szCs w:val="20"/>
        </w:rPr>
        <w:t>.</w:t>
      </w:r>
      <w:bookmarkStart w:id="32" w:name="co_footnoteReference_B00992024375594_ID0"/>
      <w:bookmarkEnd w:id="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"#co_footnote_B00992024375594_1"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Settlement Agreeme</w:t>
      </w:r>
      <w:r>
        <w:rPr>
          <w:rFonts w:ascii="Times New Roman" w:hAnsi="Times New Roman" w:cs="Times New Roman"/>
          <w:color w:val="000000"/>
          <w:sz w:val="20"/>
          <w:szCs w:val="20"/>
        </w:rPr>
        <w:t>nt is a voluntary opt-in agreement and expressly contemplates that this Court shall oversee various aspects of the administration of settlement proceedings, including appointing a Fee Allocation Committee, allocating a percentage of the settlement proceeds</w:t>
      </w:r>
      <w:r>
        <w:rPr>
          <w:rFonts w:ascii="Times New Roman" w:hAnsi="Times New Roman" w:cs="Times New Roman"/>
          <w:color w:val="000000"/>
          <w:sz w:val="20"/>
          <w:szCs w:val="20"/>
        </w:rPr>
        <w:t xml:space="preserve"> to a Common Benefit Fund, approving a cost assessment, and modifying any provisions of the Settlement Agreement that are otherwise unenforceable.</w:t>
      </w:r>
      <w:bookmarkStart w:id="33" w:name="co_footnoteReference_B010102024375594_ID"/>
      <w:bookmarkEnd w:id="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"#co_footnote_B01010</w:instrText>
      </w:r>
      <w:r>
        <w:rPr>
          <w:rFonts w:ascii="Times New Roman" w:hAnsi="Times New Roman" w:cs="Times New Roman"/>
          <w:color w:val="000000"/>
          <w:sz w:val="16"/>
          <w:szCs w:val="16"/>
        </w:rPr>
        <w:instrText xml:space="preserve">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Accordingly, this Court has consistently exercised its inherent authority over the MDL proceedings,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40" w:history="1">
        <w:r>
          <w:rPr>
            <w:rFonts w:ascii="Times New Roman" w:hAnsi="Times New Roman" w:cs="Times New Roman"/>
            <w:color w:val="000000"/>
            <w:sz w:val="20"/>
            <w:szCs w:val="20"/>
          </w:rPr>
          <w:t xml:space="preserve">Manual for Complex Litigation (Fourth)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10.224</w:t>
        </w:r>
      </w:hyperlink>
      <w:r>
        <w:rPr>
          <w:rFonts w:ascii="Times New Roman" w:hAnsi="Times New Roman" w:cs="Times New Roman"/>
          <w:color w:val="000000"/>
          <w:sz w:val="20"/>
          <w:szCs w:val="20"/>
        </w:rPr>
        <w:t xml:space="preserve">, </w:t>
      </w:r>
      <w:hyperlink r:id="rId41" w:history="1">
        <w:r>
          <w:rPr>
            <w:rFonts w:ascii="Times New Roman" w:hAnsi="Times New Roman" w:cs="Times New Roman"/>
            <w:color w:val="000000"/>
            <w:sz w:val="20"/>
            <w:szCs w:val="20"/>
          </w:rPr>
          <w:t>14.215</w:t>
        </w:r>
      </w:hyperlink>
      <w:r>
        <w:rPr>
          <w:rFonts w:ascii="Times New Roman" w:hAnsi="Times New Roman" w:cs="Times New Roman"/>
          <w:color w:val="000000"/>
          <w:sz w:val="20"/>
          <w:szCs w:val="20"/>
        </w:rPr>
        <w:t>–</w:t>
      </w:r>
      <w:hyperlink r:id="rId42" w:history="1">
        <w:r>
          <w:rPr>
            <w:rFonts w:ascii="Times New Roman" w:hAnsi="Times New Roman" w:cs="Times New Roman"/>
            <w:color w:val="000000"/>
            <w:sz w:val="20"/>
            <w:szCs w:val="20"/>
          </w:rPr>
          <w:t>16</w:t>
        </w:r>
      </w:hyperlink>
      <w:r>
        <w:rPr>
          <w:rFonts w:ascii="Times New Roman" w:hAnsi="Times New Roman" w:cs="Times New Roman"/>
          <w:color w:val="000000"/>
          <w:sz w:val="20"/>
          <w:szCs w:val="20"/>
        </w:rPr>
        <w:t xml:space="preserve">, </w:t>
      </w:r>
      <w:hyperlink r:id="rId43" w:history="1">
        <w:r>
          <w:rPr>
            <w:rFonts w:ascii="Times New Roman" w:hAnsi="Times New Roman" w:cs="Times New Roman"/>
            <w:color w:val="000000"/>
            <w:sz w:val="20"/>
            <w:szCs w:val="20"/>
          </w:rPr>
          <w:t>14.231</w:t>
        </w:r>
      </w:hyperlink>
      <w:r>
        <w:rPr>
          <w:rFonts w:ascii="Times New Roman" w:hAnsi="Times New Roman" w:cs="Times New Roman"/>
          <w:color w:val="000000"/>
          <w:sz w:val="20"/>
          <w:szCs w:val="20"/>
        </w:rPr>
        <w:t>–</w:t>
      </w:r>
      <w:hyperlink r:id="rId44" w:history="1">
        <w:r>
          <w:rPr>
            <w:rFonts w:ascii="Times New Roman" w:hAnsi="Times New Roman" w:cs="Times New Roman"/>
            <w:color w:val="000000"/>
            <w:sz w:val="20"/>
            <w:szCs w:val="20"/>
          </w:rPr>
          <w:t>.216 (2004)</w:t>
        </w:r>
      </w:hyperlink>
      <w:r>
        <w:rPr>
          <w:rFonts w:ascii="Times New Roman" w:hAnsi="Times New Roman" w:cs="Times New Roman"/>
          <w:color w:val="000000"/>
          <w:sz w:val="20"/>
          <w:szCs w:val="20"/>
        </w:rPr>
        <w:t>, in coordination wit</w:t>
      </w:r>
      <w:r>
        <w:rPr>
          <w:rFonts w:ascii="Times New Roman" w:hAnsi="Times New Roman" w:cs="Times New Roman"/>
          <w:color w:val="000000"/>
          <w:sz w:val="20"/>
          <w:szCs w:val="20"/>
        </w:rPr>
        <w:t>h its express authority under the terms of the Settlement Agreement to ensure that the settlement proceedings move forward in a uniform and efficient manner.</w:t>
      </w:r>
      <w:bookmarkStart w:id="34" w:name="co_footnoteReference_B011112024375594_ID"/>
      <w:bookmarkEnd w:id="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w:instrText>
      </w:r>
      <w:r>
        <w:rPr>
          <w:rFonts w:ascii="Times New Roman" w:hAnsi="Times New Roman" w:cs="Times New Roman"/>
          <w:color w:val="000000"/>
          <w:sz w:val="16"/>
          <w:szCs w:val="16"/>
        </w:rPr>
        <w:instrText xml:space="preserve">note_B011112024375594_1"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11</w:t>
      </w:r>
      <w:r>
        <w:rPr>
          <w:rFonts w:ascii="Times New Roman" w:hAnsi="Times New Roman" w:cs="Times New Roman"/>
          <w:color w:val="000000"/>
          <w:sz w:val="16"/>
          <w:szCs w:val="16"/>
        </w:rPr>
        <w:fldChar w:fldCharType="end"/>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5" w:name="co_footnote_B00992024375594_1"/>
          <w:bookmarkEnd w:id="35"/>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"#co_footnoteReference_B00992024375594_ID0"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9</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For a more detailed factual background of the various mechanics of the Settlement Agreement, including th</w:t>
            </w:r>
            <w:r>
              <w:rPr>
                <w:rFonts w:ascii="Times New Roman" w:hAnsi="Times New Roman" w:cs="Times New Roman"/>
                <w:color w:val="000000"/>
                <w:sz w:val="18"/>
                <w:szCs w:val="18"/>
              </w:rPr>
              <w:t xml:space="preserve">e provisions for the mandatory resolution of governmental liens, </w:t>
            </w:r>
            <w:r>
              <w:rPr>
                <w:rFonts w:ascii="Times New Roman" w:hAnsi="Times New Roman" w:cs="Times New Roman"/>
                <w:i/>
                <w:iCs/>
                <w:color w:val="000000"/>
                <w:sz w:val="18"/>
                <w:szCs w:val="18"/>
              </w:rPr>
              <w:t xml:space="preserve">see </w:t>
            </w:r>
            <w:hyperlink r:id="rId45" w:history="1">
              <w:r>
                <w:rPr>
                  <w:rFonts w:ascii="Times New Roman" w:hAnsi="Times New Roman" w:cs="Times New Roman"/>
                  <w:i/>
                  <w:iCs/>
                  <w:color w:val="000000"/>
                  <w:sz w:val="18"/>
                  <w:szCs w:val="18"/>
                </w:rPr>
                <w:t>In re Vioxx Prods. Liab. Litig.,</w:t>
              </w:r>
              <w:r>
                <w:rPr>
                  <w:rFonts w:ascii="Times New Roman" w:hAnsi="Times New Roman" w:cs="Times New Roman"/>
                  <w:color w:val="000000"/>
                  <w:sz w:val="18"/>
                  <w:szCs w:val="18"/>
                </w:rPr>
                <w:t xml:space="preserve"> 2008 WL 3285912 (E.D.La. Aug. 7, 2008)</w:t>
              </w:r>
            </w:hyperlink>
            <w:r>
              <w:rPr>
                <w:rFonts w:ascii="Times New Roman" w:hAnsi="Times New Roman" w:cs="Times New Roman"/>
                <w:color w:val="000000"/>
                <w:sz w:val="18"/>
                <w:szCs w:val="18"/>
              </w:rPr>
              <w:t xml:space="preserve"> (denying motion</w:t>
            </w:r>
            <w:r>
              <w:rPr>
                <w:rFonts w:ascii="Times New Roman" w:hAnsi="Times New Roman" w:cs="Times New Roman"/>
                <w:color w:val="000000"/>
                <w:sz w:val="18"/>
                <w:szCs w:val="18"/>
              </w:rPr>
              <w:t>s to enjoin disbursement of interim settlement payments).</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6" w:name="co_footnote_B010102024375594_1"/>
          <w:bookmarkEnd w:id="36"/>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"#co_footnoteReference_B010102024375594_ID"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10</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 e.g.,</w:t>
            </w:r>
            <w:r>
              <w:rPr>
                <w:rFonts w:ascii="Times New Roman" w:hAnsi="Times New Roman" w:cs="Times New Roman"/>
                <w:color w:val="000000"/>
                <w:sz w:val="18"/>
                <w:szCs w:val="18"/>
              </w:rPr>
              <w:t xml:space="preserve"> Settlement Agreement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9.2.4 (establishing that the Court shall appoint a Fee Allocation Committee);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9.2.5 (establishing that the Court shall </w:t>
            </w:r>
            <w:r>
              <w:rPr>
                <w:rFonts w:ascii="Times New Roman" w:hAnsi="Times New Roman" w:cs="Times New Roman"/>
                <w:color w:val="000000"/>
                <w:sz w:val="18"/>
                <w:szCs w:val="18"/>
              </w:rPr>
              <w:t>“</w:t>
            </w:r>
            <w:r>
              <w:rPr>
                <w:rFonts w:ascii="Times New Roman" w:hAnsi="Times New Roman" w:cs="Times New Roman"/>
                <w:color w:val="000000"/>
                <w:sz w:val="18"/>
                <w:szCs w:val="18"/>
              </w:rPr>
              <w:t>provide appropriate notices governing the procedure by which [it] shall determine the common benefit attorneys’ fees and reimbursemen</w:t>
            </w:r>
            <w:r>
              <w:rPr>
                <w:rFonts w:ascii="Times New Roman" w:hAnsi="Times New Roman" w:cs="Times New Roman"/>
                <w:color w:val="000000"/>
                <w:sz w:val="18"/>
                <w:szCs w:val="18"/>
              </w:rPr>
              <w:t>t of common benefit expenses</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16.4.2 (establishing that the Court may modify any provision of the Agreement under certain limited circumstances if the Court determines that the provision </w:t>
            </w:r>
            <w:r>
              <w:rPr>
                <w:rFonts w:ascii="Times New Roman" w:hAnsi="Times New Roman" w:cs="Times New Roman"/>
                <w:color w:val="000000"/>
                <w:sz w:val="18"/>
                <w:szCs w:val="18"/>
              </w:rPr>
              <w:t>“</w:t>
            </w:r>
            <w:r>
              <w:rPr>
                <w:rFonts w:ascii="Times New Roman" w:hAnsi="Times New Roman" w:cs="Times New Roman"/>
                <w:color w:val="000000"/>
                <w:sz w:val="18"/>
                <w:szCs w:val="18"/>
              </w:rPr>
              <w:t>is prohibited or unenforceable to any extent or in any particula</w:t>
            </w:r>
            <w:r>
              <w:rPr>
                <w:rFonts w:ascii="Times New Roman" w:hAnsi="Times New Roman" w:cs="Times New Roman"/>
                <w:color w:val="000000"/>
                <w:sz w:val="18"/>
                <w:szCs w:val="18"/>
              </w:rPr>
              <w:t>r context but in some modified form would be enforceable</w:t>
            </w:r>
            <w:r>
              <w:rPr>
                <w:rFonts w:ascii="Times New Roman" w:hAnsi="Times New Roman" w:cs="Times New Roman"/>
                <w:color w:val="000000"/>
                <w:sz w:val="18"/>
                <w:szCs w:val="18"/>
              </w:rPr>
              <w:t>”</w:t>
            </w:r>
            <w:r>
              <w:rPr>
                <w:rFonts w:ascii="Times New Roman" w:hAnsi="Times New Roman" w:cs="Times New Roman"/>
                <w:color w:val="000000"/>
                <w:sz w:val="18"/>
                <w:szCs w:val="18"/>
              </w:rPr>
              <w:t>).</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7" w:name="co_footnote_B011112024375594_1"/>
          <w:bookmarkEnd w:id="37"/>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"#co_footnoteReference_B011112024375594_ID"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11</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 e.g.,</w:t>
            </w:r>
            <w:r>
              <w:rPr>
                <w:rFonts w:ascii="Times New Roman" w:hAnsi="Times New Roman" w:cs="Times New Roman"/>
                <w:color w:val="000000"/>
                <w:sz w:val="18"/>
                <w:szCs w:val="18"/>
              </w:rPr>
              <w:t xml:space="preserve"> Pretrial Order No. 32, Rec. Doc. 13007 (Nov. 20, 2007) (exerci</w:t>
            </w:r>
            <w:r>
              <w:rPr>
                <w:rFonts w:ascii="Times New Roman" w:hAnsi="Times New Roman" w:cs="Times New Roman"/>
                <w:color w:val="000000"/>
                <w:sz w:val="18"/>
                <w:szCs w:val="18"/>
              </w:rPr>
              <w:t xml:space="preserve">sing the Court’s </w:t>
            </w:r>
            <w:r>
              <w:rPr>
                <w:rFonts w:ascii="Times New Roman" w:hAnsi="Times New Roman" w:cs="Times New Roman"/>
                <w:color w:val="000000"/>
                <w:sz w:val="18"/>
                <w:szCs w:val="18"/>
              </w:rPr>
              <w:t>“</w:t>
            </w:r>
            <w:r>
              <w:rPr>
                <w:rFonts w:ascii="Times New Roman" w:hAnsi="Times New Roman" w:cs="Times New Roman"/>
                <w:color w:val="000000"/>
                <w:sz w:val="18"/>
                <w:szCs w:val="18"/>
              </w:rPr>
              <w:t>inherent authority over this multidistrict litigation</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as well as its express authority under Paragraph 9.2.4 of the Settlement Agreement to appoint a Fee Allocation Committee; reserving the right to </w:t>
            </w:r>
            <w:r>
              <w:rPr>
                <w:rFonts w:ascii="Times New Roman" w:hAnsi="Times New Roman" w:cs="Times New Roman"/>
                <w:color w:val="000000"/>
                <w:sz w:val="18"/>
                <w:szCs w:val="18"/>
              </w:rPr>
              <w:t>“</w:t>
            </w:r>
            <w:r>
              <w:rPr>
                <w:rFonts w:ascii="Times New Roman" w:hAnsi="Times New Roman" w:cs="Times New Roman"/>
                <w:color w:val="000000"/>
                <w:sz w:val="18"/>
                <w:szCs w:val="18"/>
              </w:rPr>
              <w:t>issue subsequent Orders governing the</w:t>
            </w:r>
            <w:r>
              <w:rPr>
                <w:rFonts w:ascii="Times New Roman" w:hAnsi="Times New Roman" w:cs="Times New Roman"/>
                <w:color w:val="000000"/>
                <w:sz w:val="18"/>
                <w:szCs w:val="18"/>
              </w:rPr>
              <w:t xml:space="preserve"> procedure by which the Allocation Committee shall carry out its function</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and providing that members appointed to the committee may not be substituted by other attorneys </w:t>
            </w:r>
            <w:r>
              <w:rPr>
                <w:rFonts w:ascii="Times New Roman" w:hAnsi="Times New Roman" w:cs="Times New Roman"/>
                <w:color w:val="000000"/>
                <w:sz w:val="18"/>
                <w:szCs w:val="18"/>
              </w:rPr>
              <w:t>“</w:t>
            </w:r>
            <w:r>
              <w:rPr>
                <w:rFonts w:ascii="Times New Roman" w:hAnsi="Times New Roman" w:cs="Times New Roman"/>
                <w:color w:val="000000"/>
                <w:sz w:val="18"/>
                <w:szCs w:val="18"/>
              </w:rPr>
              <w:t>except with the prior approval of the Court</w:t>
            </w:r>
            <w:r>
              <w:rPr>
                <w:rFonts w:ascii="Times New Roman" w:hAnsi="Times New Roman" w:cs="Times New Roman"/>
                <w:color w:val="000000"/>
                <w:sz w:val="18"/>
                <w:szCs w:val="18"/>
              </w:rPr>
              <w:t>”</w:t>
            </w:r>
            <w:r>
              <w:rPr>
                <w:rFonts w:ascii="Times New Roman" w:hAnsi="Times New Roman" w:cs="Times New Roman"/>
                <w:color w:val="000000"/>
                <w:sz w:val="18"/>
                <w:szCs w:val="18"/>
              </w:rPr>
              <w:t>).</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As part of the Settlement Agreeme</w:t>
      </w:r>
      <w:r>
        <w:rPr>
          <w:rFonts w:ascii="Times New Roman" w:hAnsi="Times New Roman" w:cs="Times New Roman"/>
          <w:color w:val="000000"/>
          <w:sz w:val="20"/>
          <w:szCs w:val="20"/>
        </w:rPr>
        <w:t xml:space="preserve">nt, the parties included a provision that expressly provides for a common benefit fee assessment to be fixed by the Court.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9.2. Specifically, the Settlement Agreement provides that:</w:t>
      </w:r>
    </w:p>
    <w:p w:rsidR="00000000" w:rsidRDefault="001C0C97">
      <w:pPr>
        <w:widowControl w:val="0"/>
        <w:autoSpaceDE w:val="0"/>
        <w:autoSpaceDN w:val="0"/>
        <w:adjustRightInd w:val="0"/>
        <w:spacing w:before="250" w:after="50"/>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[t]o ensure that [the common benefit attorneys] are fairly compensat</w:t>
      </w:r>
      <w:r>
        <w:rPr>
          <w:rFonts w:ascii="Times New Roman" w:hAnsi="Times New Roman" w:cs="Times New Roman"/>
          <w:color w:val="000000"/>
          <w:sz w:val="20"/>
          <w:szCs w:val="20"/>
        </w:rPr>
        <w:t>ed but that their fees are in conformance with reasonable rates, an assessment of common benefit attorneys’ fees will be imposed at no more than 8% of the gross amount recovered for every client that registers under the terms of the Settlement Agreement.</w:t>
      </w:r>
    </w:p>
    <w:p w:rsidR="00000000" w:rsidRDefault="001C0C97">
      <w:pPr>
        <w:widowControl w:val="0"/>
        <w:autoSpaceDE w:val="0"/>
        <w:autoSpaceDN w:val="0"/>
        <w:adjustRightInd w:val="0"/>
        <w:spacing w:before="200"/>
        <w:jc w:val="both"/>
        <w:rPr>
          <w:rFonts w:ascii="Times New Roman" w:hAnsi="Times New Roman" w:cs="Times New Roman"/>
          <w:color w:val="000000"/>
          <w:sz w:val="20"/>
          <w:szCs w:val="20"/>
        </w:rPr>
      </w:pPr>
      <w:r>
        <w:rPr>
          <w:rFonts w:ascii="Times New Roman" w:hAnsi="Times New Roman" w:cs="Times New Roman"/>
          <w:i/>
          <w:iCs/>
          <w:color w:val="000000"/>
          <w:sz w:val="20"/>
          <w:szCs w:val="20"/>
        </w:rPr>
        <w:t>I</w:t>
      </w:r>
      <w:r>
        <w:rPr>
          <w:rFonts w:ascii="Times New Roman" w:hAnsi="Times New Roman" w:cs="Times New Roman"/>
          <w:i/>
          <w:iCs/>
          <w:color w:val="000000"/>
          <w:sz w:val="20"/>
          <w:szCs w:val="20"/>
        </w:rPr>
        <w:t>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9.2.1. Additionally, the Settlement Agreement states that this common benefit fee assessment supersedes the assessments provided for in Pretrial Order No. 19.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The maximum 8% attorneys’ fee assessment shall supersede the assessment provided to MD</w:t>
      </w:r>
      <w:r>
        <w:rPr>
          <w:rFonts w:ascii="Times New Roman" w:hAnsi="Times New Roman" w:cs="Times New Roman"/>
          <w:color w:val="000000"/>
          <w:sz w:val="20"/>
          <w:szCs w:val="20"/>
        </w:rPr>
        <w:t>L common benefit attorneys pursuant to Pretrial Order No. 19.</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On July 17, 2008, Merck formally announced that it was satisfied that the thresholds necessary to trigger funding of the </w:t>
      </w:r>
      <w:hyperlink r:id="rId46"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Settlement Program would be met. </w:t>
      </w:r>
      <w:r>
        <w:rPr>
          <w:rFonts w:ascii="Times New Roman" w:hAnsi="Times New Roman" w:cs="Times New Roman"/>
          <w:i/>
          <w:iCs/>
          <w:color w:val="000000"/>
          <w:sz w:val="20"/>
          <w:szCs w:val="20"/>
        </w:rPr>
        <w:t>See Minute Entry, July</w:t>
      </w:r>
      <w:r>
        <w:rPr>
          <w:rFonts w:ascii="Times New Roman" w:hAnsi="Times New Roman" w:cs="Times New Roman"/>
          <w:color w:val="000000"/>
          <w:sz w:val="20"/>
          <w:szCs w:val="20"/>
        </w:rPr>
        <w:t xml:space="preserve"> 17, 2008, Rec. Doc. 15362 (July 17, 2008). </w:t>
      </w:r>
      <w:r>
        <w:rPr>
          <w:rFonts w:ascii="Times New Roman" w:hAnsi="Times New Roman" w:cs="Times New Roman"/>
          <w:color w:val="000000"/>
          <w:sz w:val="20"/>
          <w:szCs w:val="20"/>
        </w:rPr>
        <w:t xml:space="preserve">Merck further advised that it intended to waive </w:t>
      </w:r>
      <w:bookmarkStart w:id="38" w:name="co_pp_sp_4637_646_1"/>
      <w:bookmarkEnd w:id="38"/>
      <w:r>
        <w:rPr>
          <w:rFonts w:ascii="Times New Roman" w:hAnsi="Times New Roman" w:cs="Times New Roman"/>
          <w:b/>
          <w:bCs/>
          <w:color w:val="000000"/>
          <w:sz w:val="20"/>
          <w:szCs w:val="20"/>
        </w:rPr>
        <w:t>*646</w:t>
      </w:r>
      <w:r>
        <w:rPr>
          <w:rFonts w:ascii="Times New Roman" w:hAnsi="Times New Roman" w:cs="Times New Roman"/>
          <w:color w:val="000000"/>
          <w:sz w:val="20"/>
          <w:szCs w:val="20"/>
        </w:rPr>
        <w:t xml:space="preserve"> its walk away privileges and that it would commence funding the </w:t>
      </w:r>
      <w:hyperlink r:id="rId47"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Settlement Program by depositing an initial sum of $500 million into the settlement fund, clearing the way for distribution of inte</w:t>
      </w:r>
      <w:r>
        <w:rPr>
          <w:rFonts w:ascii="Times New Roman" w:hAnsi="Times New Roman" w:cs="Times New Roman"/>
          <w:color w:val="000000"/>
          <w:sz w:val="20"/>
          <w:szCs w:val="20"/>
        </w:rPr>
        <w:t xml:space="preserve">rim payments to eligible claimants.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Eventually some 99.9% of all eligible claimants enrolled in the program.</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Settlement Program proceeded at a very rapid rate in order to ensure that the plaintiffs would recover in a </w:t>
      </w:r>
      <w:r>
        <w:rPr>
          <w:rFonts w:ascii="Times New Roman" w:hAnsi="Times New Roman" w:cs="Times New Roman"/>
          <w:color w:val="000000"/>
          <w:sz w:val="20"/>
          <w:szCs w:val="20"/>
        </w:rPr>
        <w:lastRenderedPageBreak/>
        <w:t>timely fashion. Final payments to heart attack claimants were completed prior to October 14, 2009, final payments to stroke claimants were compl</w:t>
      </w:r>
      <w:r>
        <w:rPr>
          <w:rFonts w:ascii="Times New Roman" w:hAnsi="Times New Roman" w:cs="Times New Roman"/>
          <w:color w:val="000000"/>
          <w:sz w:val="20"/>
          <w:szCs w:val="20"/>
        </w:rPr>
        <w:t>eted by June 14, 2010, and final extraordinary injury payments were completed by June 29, 2010. Thus, in only 31 months, the parties to this case were able to reach a global settlement and distribute $4,353,152,064 to 32,886 claimants, out of a pool of 49,</w:t>
      </w:r>
      <w:r>
        <w:rPr>
          <w:rFonts w:ascii="Times New Roman" w:hAnsi="Times New Roman" w:cs="Times New Roman"/>
          <w:color w:val="000000"/>
          <w:sz w:val="20"/>
          <w:szCs w:val="20"/>
        </w:rPr>
        <w:t>893 eligible and enrolled claimants. This efficiency is unprecedented in mass tort settlements of this size. It was due in large part to the ability, industry, and professionalism of the attorneys for both sides and the plan administrators.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Before the pa</w:t>
      </w:r>
      <w:r>
        <w:rPr>
          <w:rFonts w:ascii="Times New Roman" w:hAnsi="Times New Roman" w:cs="Times New Roman"/>
          <w:color w:val="000000"/>
          <w:sz w:val="20"/>
          <w:szCs w:val="20"/>
        </w:rPr>
        <w:t xml:space="preserve">y outs commenced the Court turned its attention to attorneys’ fees for primary counsel, or counsel who were retained directly by the claimants. Primary counsel came from nearly every state in the Union. Their fee contracts ranged from 33 1/3% to over 40%. </w:t>
      </w:r>
      <w:r>
        <w:rPr>
          <w:rFonts w:ascii="Times New Roman" w:hAnsi="Times New Roman" w:cs="Times New Roman"/>
          <w:color w:val="000000"/>
          <w:sz w:val="20"/>
          <w:szCs w:val="20"/>
        </w:rPr>
        <w:t>This inconsistency of fees for attorneys doing roughly the same work and having the same responsibility seemed unsustainable and inappropriate. Moreover, one benefit of the MDL process is economy of scale, namely the principle of obtaining an economic bene</w:t>
      </w:r>
      <w:r>
        <w:rPr>
          <w:rFonts w:ascii="Times New Roman" w:hAnsi="Times New Roman" w:cs="Times New Roman"/>
          <w:color w:val="000000"/>
          <w:sz w:val="20"/>
          <w:szCs w:val="20"/>
        </w:rPr>
        <w:t xml:space="preserve">fit from sheer numbers. It appeared to the Court that the claimants themselves were the only ones not benefitting from this principle. Accordingly, the Court issued an Order &amp; Reasons, which provided </w:t>
      </w:r>
      <w:r>
        <w:rPr>
          <w:rFonts w:ascii="Times New Roman" w:hAnsi="Times New Roman" w:cs="Times New Roman"/>
          <w:color w:val="000000"/>
          <w:sz w:val="20"/>
          <w:szCs w:val="20"/>
        </w:rPr>
        <w:t>“</w:t>
      </w:r>
      <w:r>
        <w:rPr>
          <w:rFonts w:ascii="Times New Roman" w:hAnsi="Times New Roman" w:cs="Times New Roman"/>
          <w:color w:val="000000"/>
          <w:sz w:val="20"/>
          <w:szCs w:val="20"/>
        </w:rPr>
        <w:t>that contingent fee arrangements for all attorneys repr</w:t>
      </w:r>
      <w:r>
        <w:rPr>
          <w:rFonts w:ascii="Times New Roman" w:hAnsi="Times New Roman" w:cs="Times New Roman"/>
          <w:color w:val="000000"/>
          <w:sz w:val="20"/>
          <w:szCs w:val="20"/>
        </w:rPr>
        <w:t xml:space="preserve">esenting claimants in the </w:t>
      </w:r>
      <w:hyperlink r:id="rId48"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glob</w:t>
      </w:r>
      <w:r>
        <w:rPr>
          <w:rFonts w:ascii="Times New Roman" w:hAnsi="Times New Roman" w:cs="Times New Roman"/>
          <w:color w:val="000000"/>
          <w:sz w:val="20"/>
          <w:szCs w:val="20"/>
        </w:rPr>
        <w:t>al settlement shall be capped at 32% plus reasonable costs.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Order &amp; Reasons, August 27, 2008,</w:t>
      </w:r>
      <w:r>
        <w:rPr>
          <w:rFonts w:ascii="Times New Roman" w:hAnsi="Times New Roman" w:cs="Times New Roman"/>
          <w:color w:val="000000"/>
          <w:sz w:val="20"/>
          <w:szCs w:val="20"/>
        </w:rPr>
        <w:t xml:space="preserve"> Rec. Doc. 15722, 20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21 (Aug. 27, 2008) (published as </w:t>
      </w:r>
      <w:hyperlink r:id="rId49" w:history="1">
        <w:r>
          <w:rPr>
            <w:rFonts w:ascii="Times New Roman" w:hAnsi="Times New Roman" w:cs="Times New Roman"/>
            <w:i/>
            <w:iCs/>
            <w:color w:val="000000"/>
            <w:sz w:val="20"/>
            <w:szCs w:val="20"/>
          </w:rPr>
          <w:t>In re Vioxx Prods. Liab. Litig.,</w:t>
        </w:r>
        <w:r>
          <w:rPr>
            <w:rFonts w:ascii="Times New Roman" w:hAnsi="Times New Roman" w:cs="Times New Roman"/>
            <w:color w:val="000000"/>
            <w:sz w:val="20"/>
            <w:szCs w:val="20"/>
          </w:rPr>
          <w:t xml:space="preserve"> 574 F.Supp.2d 606 (E.D.La.2008)</w:t>
        </w:r>
      </w:hyperlink>
      <w:r>
        <w:rPr>
          <w:rFonts w:ascii="Times New Roman" w:hAnsi="Times New Roman" w:cs="Times New Roman"/>
          <w:color w:val="000000"/>
          <w:sz w:val="20"/>
          <w:szCs w:val="20"/>
        </w:rPr>
        <w:t>). Following this Order, a group of five</w:t>
      </w:r>
      <w:r>
        <w:rPr>
          <w:rFonts w:ascii="Times New Roman" w:hAnsi="Times New Roman" w:cs="Times New Roman"/>
          <w:color w:val="000000"/>
          <w:sz w:val="20"/>
          <w:szCs w:val="20"/>
        </w:rPr>
        <w:t xml:space="preserve"> attorneys, identified as the Vioxx Litigation Consortium (</w:t>
      </w:r>
      <w:r>
        <w:rPr>
          <w:rFonts w:ascii="Times New Roman" w:hAnsi="Times New Roman" w:cs="Times New Roman"/>
          <w:color w:val="000000"/>
          <w:sz w:val="20"/>
          <w:szCs w:val="20"/>
        </w:rPr>
        <w:t>“</w:t>
      </w:r>
      <w:r>
        <w:rPr>
          <w:rFonts w:ascii="Times New Roman" w:hAnsi="Times New Roman" w:cs="Times New Roman"/>
          <w:color w:val="000000"/>
          <w:sz w:val="20"/>
          <w:szCs w:val="20"/>
        </w:rPr>
        <w:t>VLC</w:t>
      </w:r>
      <w:r>
        <w:rPr>
          <w:rFonts w:ascii="Times New Roman" w:hAnsi="Times New Roman" w:cs="Times New Roman"/>
          <w:color w:val="000000"/>
          <w:sz w:val="20"/>
          <w:szCs w:val="20"/>
        </w:rPr>
        <w:t>”</w:t>
      </w:r>
      <w:r>
        <w:rPr>
          <w:rFonts w:ascii="Times New Roman" w:hAnsi="Times New Roman" w:cs="Times New Roman"/>
          <w:color w:val="000000"/>
          <w:sz w:val="20"/>
          <w:szCs w:val="20"/>
        </w:rPr>
        <w:t>), filed a Motion for Reconsideration/Revision of the Court’s Order Capping Contingent Fees and Alternatively for Entry of Judgment. (Rec. Doc. 17395). The matter was set for hearing and the T</w:t>
      </w:r>
      <w:r>
        <w:rPr>
          <w:rFonts w:ascii="Times New Roman" w:hAnsi="Times New Roman" w:cs="Times New Roman"/>
          <w:color w:val="000000"/>
          <w:sz w:val="20"/>
          <w:szCs w:val="20"/>
        </w:rPr>
        <w:t xml:space="preserve">ulane Law Clinic was appointed to represent the claimants themselves since there was a clear conflict between the claimants and their counsel. After extensive briefing and a hearing, the Court affirmed its position with the alteration that would allow the </w:t>
      </w:r>
      <w:r>
        <w:rPr>
          <w:rFonts w:ascii="Times New Roman" w:hAnsi="Times New Roman" w:cs="Times New Roman"/>
          <w:color w:val="000000"/>
          <w:sz w:val="20"/>
          <w:szCs w:val="20"/>
        </w:rPr>
        <w:t xml:space="preserve">Court to deviate from the 32% cap in appropriate rare circumstances. </w:t>
      </w:r>
      <w:hyperlink r:id="rId50" w:history="1">
        <w:r>
          <w:rPr>
            <w:rFonts w:ascii="Times New Roman" w:hAnsi="Times New Roman" w:cs="Times New Roman"/>
            <w:i/>
            <w:iCs/>
            <w:color w:val="000000"/>
            <w:sz w:val="20"/>
            <w:szCs w:val="20"/>
          </w:rPr>
          <w:t>In re Vioxx Prods. Liab. Litig.,</w:t>
        </w:r>
        <w:r>
          <w:rPr>
            <w:rFonts w:ascii="Times New Roman" w:hAnsi="Times New Roman" w:cs="Times New Roman"/>
            <w:color w:val="000000"/>
            <w:sz w:val="20"/>
            <w:szCs w:val="20"/>
          </w:rPr>
          <w:t xml:space="preserve"> 650 F.Supp.2d 549 (E.D.La.2009)</w:t>
        </w:r>
      </w:hyperlink>
      <w:r>
        <w:rPr>
          <w:rFonts w:ascii="Times New Roman" w:hAnsi="Times New Roman" w:cs="Times New Roman"/>
          <w:color w:val="000000"/>
          <w:sz w:val="20"/>
          <w:szCs w:val="20"/>
        </w:rPr>
        <w:t>. The Court’s ruling was appealed to the Fifth Circuit Court of Appeals but after a time the appeal was withdrawn.</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PLC filed the instant motion on January 20, 2009, requesting a common benefit fee award of 8% of the $4.85 billion settlement amount. This amount was to </w:t>
      </w:r>
      <w:r>
        <w:rPr>
          <w:rFonts w:ascii="Times New Roman" w:hAnsi="Times New Roman" w:cs="Times New Roman"/>
          <w:color w:val="000000"/>
          <w:sz w:val="20"/>
          <w:szCs w:val="20"/>
        </w:rPr>
        <w:t>come out of the attorneys’ fees of primary counsel. The motion was sent to all parties and announce</w:t>
      </w:r>
      <w:r>
        <w:rPr>
          <w:rFonts w:ascii="Times New Roman" w:hAnsi="Times New Roman" w:cs="Times New Roman"/>
          <w:color w:val="000000"/>
          <w:sz w:val="20"/>
          <w:szCs w:val="20"/>
        </w:rPr>
        <w:t xml:space="preserve">d by the Court at public status conferences. On April 16, 2009, the Court invited any interested party to file a Notice of Objection on or before May 8, 2009. After receiving numerous objections, the Court concluded that it would be appropriate to appoint </w:t>
      </w:r>
      <w:r>
        <w:rPr>
          <w:rFonts w:ascii="Times New Roman" w:hAnsi="Times New Roman" w:cs="Times New Roman"/>
          <w:color w:val="000000"/>
          <w:sz w:val="20"/>
          <w:szCs w:val="20"/>
        </w:rPr>
        <w:t xml:space="preserve">a Liaison Counsel for the Common Benefit Fee Application Objectors and appointed Michael Stratton to this role.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Pretrial Order No. 52 (Sept. 30, 2009). Thereafter, numerous status conferences were convened, discovery was taken, briefing was submitted, </w:t>
      </w:r>
      <w:r>
        <w:rPr>
          <w:rFonts w:ascii="Times New Roman" w:hAnsi="Times New Roman" w:cs="Times New Roman"/>
          <w:color w:val="000000"/>
          <w:sz w:val="20"/>
          <w:szCs w:val="20"/>
        </w:rPr>
        <w:t xml:space="preserve">and arguments were heard. While the matter was pending before this Court, the PLC </w:t>
      </w:r>
      <w:bookmarkStart w:id="39" w:name="co_pp_sp_4637_647_1"/>
      <w:bookmarkEnd w:id="39"/>
      <w:r>
        <w:rPr>
          <w:rFonts w:ascii="Times New Roman" w:hAnsi="Times New Roman" w:cs="Times New Roman"/>
          <w:b/>
          <w:bCs/>
          <w:color w:val="000000"/>
          <w:sz w:val="20"/>
          <w:szCs w:val="20"/>
        </w:rPr>
        <w:t>*647</w:t>
      </w:r>
      <w:r>
        <w:rPr>
          <w:rFonts w:ascii="Times New Roman" w:hAnsi="Times New Roman" w:cs="Times New Roman"/>
          <w:color w:val="000000"/>
          <w:sz w:val="20"/>
          <w:szCs w:val="20"/>
        </w:rPr>
        <w:t xml:space="preserve"> reduced its request for a common benefit fee award to 7.5% and the objectors withdrew their objections. With this back story in min</w:t>
      </w:r>
      <w:r>
        <w:rPr>
          <w:rFonts w:ascii="Times New Roman" w:hAnsi="Times New Roman" w:cs="Times New Roman"/>
          <w:color w:val="000000"/>
          <w:sz w:val="20"/>
          <w:szCs w:val="20"/>
        </w:rPr>
        <w:t>d and after considering the briefs and oral argument, the Court is now fully apprised of the factual and legal issues involved in the PLC’s request and is ready to rule.</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40" w:name="co_anchor_I95b00dd29b6911e38578f7ccc38dc"/>
      <w:bookmarkEnd w:id="40"/>
    </w:p>
    <w:p w:rsidR="00000000" w:rsidRDefault="001C0C97">
      <w:pPr>
        <w:widowControl w:val="0"/>
        <w:autoSpaceDE w:val="0"/>
        <w:autoSpaceDN w:val="0"/>
        <w:adjustRightInd w:val="0"/>
        <w:spacing w:before="200"/>
        <w:rPr>
          <w:rFonts w:ascii="Times New Roman" w:hAnsi="Times New Roman" w:cs="Times New Roman"/>
          <w:b/>
          <w:bCs/>
          <w:color w:val="000000"/>
          <w:sz w:val="20"/>
          <w:szCs w:val="20"/>
        </w:rPr>
      </w:pPr>
      <w:r>
        <w:rPr>
          <w:rFonts w:ascii="Times New Roman" w:hAnsi="Times New Roman" w:cs="Times New Roman"/>
          <w:b/>
          <w:bCs/>
          <w:color w:val="000000"/>
          <w:sz w:val="20"/>
          <w:szCs w:val="20"/>
        </w:rPr>
        <w:t>II.</w:t>
      </w:r>
      <w:r>
        <w:rPr>
          <w:rFonts w:ascii="Times New Roman" w:hAnsi="Times New Roman" w:cs="Times New Roman"/>
          <w:b/>
          <w:bCs/>
          <w:color w:val="000000"/>
          <w:sz w:val="20"/>
          <w:szCs w:val="20"/>
        </w:rPr>
        <w:t xml:space="preserve"> COMMON BENEFIT ATTORNEYS’ FEES</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LAW &amp; ANALYSIS</w:t>
      </w:r>
    </w:p>
    <w:p w:rsidR="00000000" w:rsidRDefault="001C0C97">
      <w:pPr>
        <w:widowControl w:val="0"/>
        <w:autoSpaceDE w:val="0"/>
        <w:autoSpaceDN w:val="0"/>
        <w:adjustRightInd w:val="0"/>
        <w:spacing w:before="200"/>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A. Introduction</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[U]nder the </w:t>
      </w:r>
      <w:r>
        <w:rPr>
          <w:rFonts w:ascii="Times New Roman" w:hAnsi="Times New Roman" w:cs="Times New Roman"/>
          <w:color w:val="000000"/>
          <w:sz w:val="20"/>
          <w:szCs w:val="20"/>
        </w:rPr>
        <w:t>‘</w:t>
      </w:r>
      <w:r>
        <w:rPr>
          <w:rFonts w:ascii="Times New Roman" w:hAnsi="Times New Roman" w:cs="Times New Roman"/>
          <w:color w:val="000000"/>
          <w:sz w:val="20"/>
          <w:szCs w:val="20"/>
        </w:rPr>
        <w:t>American Rule,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prevailing litigant is ordinarily not entitled to collect a reasonable attorneys’ fee from the loser.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1" w:history="1">
        <w:r>
          <w:rPr>
            <w:rFonts w:ascii="Times New Roman" w:hAnsi="Times New Roman" w:cs="Times New Roman"/>
            <w:i/>
            <w:iCs/>
            <w:color w:val="000000"/>
            <w:sz w:val="20"/>
            <w:szCs w:val="20"/>
          </w:rPr>
          <w:t xml:space="preserve">Pennsylvania v. Del. Valley Citizens’ Council for Clean </w:t>
        </w:r>
        <w:r>
          <w:rPr>
            <w:rFonts w:ascii="Times New Roman" w:hAnsi="Times New Roman" w:cs="Times New Roman"/>
            <w:i/>
            <w:iCs/>
            <w:color w:val="000000"/>
            <w:sz w:val="20"/>
            <w:szCs w:val="20"/>
          </w:rPr>
          <w:t>Air,</w:t>
        </w:r>
        <w:r>
          <w:rPr>
            <w:rFonts w:ascii="Times New Roman" w:hAnsi="Times New Roman" w:cs="Times New Roman"/>
            <w:color w:val="000000"/>
            <w:sz w:val="20"/>
            <w:szCs w:val="20"/>
          </w:rPr>
          <w:t xml:space="preserve"> 478 U.S. 546, 561, 106 S.Ct. 3088, 92 L.Ed.2d 439 (1986)</w:t>
        </w:r>
      </w:hyperlink>
      <w:r>
        <w:rPr>
          <w:rFonts w:ascii="Times New Roman" w:hAnsi="Times New Roman" w:cs="Times New Roman"/>
          <w:color w:val="000000"/>
          <w:sz w:val="20"/>
          <w:szCs w:val="20"/>
        </w:rPr>
        <w:t xml:space="preserve"> (quotation omitted). Likewise, the attorney for the prevailing litigant must generally look to his or her own client for payment of attorneys’ fees. Since the nineteenth century, however, the</w:t>
      </w:r>
      <w:r>
        <w:rPr>
          <w:rFonts w:ascii="Times New Roman" w:hAnsi="Times New Roman" w:cs="Times New Roman"/>
          <w:color w:val="000000"/>
          <w:sz w:val="20"/>
          <w:szCs w:val="20"/>
        </w:rPr>
        <w:t xml:space="preserve"> Supreme Court has recognized an equitable exception to this rule, known as the common fund or common benefit doctrine, that permits the creation of a common fund in order to pay reasonable attorneys’ fees for legal services beneficial to persons other tha</w:t>
      </w:r>
      <w:r>
        <w:rPr>
          <w:rFonts w:ascii="Times New Roman" w:hAnsi="Times New Roman" w:cs="Times New Roman"/>
          <w:color w:val="000000"/>
          <w:sz w:val="20"/>
          <w:szCs w:val="20"/>
        </w:rPr>
        <w:t xml:space="preserve">n a particular client, thus spreading the cost of the litigation to all beneficiaries. </w:t>
      </w:r>
      <w:r>
        <w:rPr>
          <w:rFonts w:ascii="Times New Roman" w:hAnsi="Times New Roman" w:cs="Times New Roman"/>
          <w:i/>
          <w:iCs/>
          <w:color w:val="000000"/>
          <w:sz w:val="20"/>
          <w:szCs w:val="20"/>
        </w:rPr>
        <w:t xml:space="preserve">See </w:t>
      </w:r>
      <w:hyperlink r:id="rId52" w:history="1">
        <w:r>
          <w:rPr>
            <w:rFonts w:ascii="Times New Roman" w:hAnsi="Times New Roman" w:cs="Times New Roman"/>
            <w:i/>
            <w:iCs/>
            <w:color w:val="000000"/>
            <w:sz w:val="20"/>
            <w:szCs w:val="20"/>
          </w:rPr>
          <w:t>In re Zyprexa Prods. Liab. Litig.,</w:t>
        </w:r>
        <w:r>
          <w:rPr>
            <w:rFonts w:ascii="Times New Roman" w:hAnsi="Times New Roman" w:cs="Times New Roman"/>
            <w:color w:val="000000"/>
            <w:sz w:val="20"/>
            <w:szCs w:val="20"/>
          </w:rPr>
          <w:t xml:space="preserve"> 594 F.3d 113, 128 (2d Cir.2010)</w:t>
        </w:r>
      </w:hyperlink>
      <w:r>
        <w:rPr>
          <w:rFonts w:ascii="Times New Roman" w:hAnsi="Times New Roman" w:cs="Times New Roman"/>
          <w:color w:val="000000"/>
          <w:sz w:val="20"/>
          <w:szCs w:val="20"/>
        </w:rPr>
        <w:t xml:space="preserve"> (Kaplan, J., concurring).</w:t>
      </w:r>
      <w:bookmarkStart w:id="41" w:name="co_footnoteReference_B012122024375594_ID"/>
      <w:bookmarkEnd w:id="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"#co_footnote_B012122024375594_1"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equitable common fund doctrine was originally, and perhaps still is, most commonly applied to awards of attorneys’ fees in class actions.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w:t>
      </w:r>
      <w:hyperlink r:id="rId53" w:history="1">
        <w:r>
          <w:rPr>
            <w:rFonts w:ascii="Times New Roman" w:hAnsi="Times New Roman" w:cs="Times New Roman"/>
            <w:color w:val="000000"/>
            <w:sz w:val="20"/>
            <w:szCs w:val="20"/>
          </w:rPr>
          <w:t>4 Alba</w:t>
        </w:r>
        <w:r>
          <w:rPr>
            <w:rFonts w:ascii="Times New Roman" w:hAnsi="Times New Roman" w:cs="Times New Roman"/>
            <w:color w:val="000000"/>
            <w:sz w:val="20"/>
            <w:szCs w:val="20"/>
          </w:rPr>
          <w:t xml:space="preserve"> Conte &amp; Herbert B. Newberg, </w:t>
        </w:r>
        <w:r>
          <w:rPr>
            <w:rFonts w:ascii="Times New Roman" w:hAnsi="Times New Roman" w:cs="Times New Roman"/>
            <w:i/>
            <w:iCs/>
            <w:color w:val="000000"/>
            <w:sz w:val="20"/>
            <w:szCs w:val="20"/>
          </w:rPr>
          <w:t>Newberg on Class Actions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13:76 (4th ed. 2002)</w:t>
        </w:r>
      </w:hyperlink>
      <w:r>
        <w:rPr>
          <w:rFonts w:ascii="Times New Roman" w:hAnsi="Times New Roman" w:cs="Times New Roman"/>
          <w:color w:val="000000"/>
          <w:sz w:val="20"/>
          <w:szCs w:val="20"/>
        </w:rPr>
        <w:t xml:space="preserve"> (discussing common fund doctrine in context of class actions); </w:t>
      </w:r>
      <w:hyperlink r:id="rId54" w:history="1">
        <w:r>
          <w:rPr>
            <w:rFonts w:ascii="Times New Roman" w:hAnsi="Times New Roman" w:cs="Times New Roman"/>
            <w:color w:val="000000"/>
            <w:sz w:val="20"/>
            <w:szCs w:val="20"/>
          </w:rPr>
          <w:t>Fed.R.Civ.P. 23(h)</w:t>
        </w:r>
      </w:hyperlink>
      <w:r>
        <w:rPr>
          <w:rFonts w:ascii="Times New Roman" w:hAnsi="Times New Roman" w:cs="Times New Roman"/>
          <w:color w:val="000000"/>
          <w:sz w:val="20"/>
          <w:szCs w:val="20"/>
        </w:rPr>
        <w: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42" w:name="co_footnote_B012122024375594_1"/>
          <w:bookmarkEnd w:id="42"/>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w:instrText>
            </w:r>
            <w:r>
              <w:rPr>
                <w:rFonts w:ascii="Times New Roman" w:hAnsi="Times New Roman" w:cs="Times New Roman"/>
                <w:color w:val="000000"/>
                <w:sz w:val="20"/>
                <w:szCs w:val="20"/>
              </w:rPr>
              <w:instrText xml:space="preserve">rence_B012122024375594_ID"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12</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Some authorities have commented on the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persistent and confusing identification of common-fund recovery </w:t>
            </w:r>
            <w:r>
              <w:rPr>
                <w:rFonts w:ascii="Times New Roman" w:hAnsi="Times New Roman" w:cs="Times New Roman"/>
                <w:color w:val="000000"/>
                <w:sz w:val="18"/>
                <w:szCs w:val="18"/>
              </w:rPr>
              <w:lastRenderedPageBreak/>
              <w:t xml:space="preserve">as an </w:t>
            </w:r>
            <w:r>
              <w:rPr>
                <w:rFonts w:ascii="Times New Roman" w:hAnsi="Times New Roman" w:cs="Times New Roman"/>
                <w:color w:val="000000"/>
                <w:sz w:val="18"/>
                <w:szCs w:val="18"/>
              </w:rPr>
              <w:t>‘</w:t>
            </w:r>
            <w:r>
              <w:rPr>
                <w:rFonts w:ascii="Times New Roman" w:hAnsi="Times New Roman" w:cs="Times New Roman"/>
                <w:color w:val="000000"/>
                <w:sz w:val="18"/>
                <w:szCs w:val="18"/>
              </w:rPr>
              <w:t>exception</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to the American rule on attorneys’ fees,</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noting that in a common fund situation the funds are actua</w:t>
            </w:r>
            <w:r>
              <w:rPr>
                <w:rFonts w:ascii="Times New Roman" w:hAnsi="Times New Roman" w:cs="Times New Roman"/>
                <w:color w:val="000000"/>
                <w:sz w:val="18"/>
                <w:szCs w:val="18"/>
              </w:rPr>
              <w:t xml:space="preserve">lly distributed </w:t>
            </w:r>
            <w:r>
              <w:rPr>
                <w:rFonts w:ascii="Times New Roman" w:hAnsi="Times New Roman" w:cs="Times New Roman"/>
                <w:color w:val="000000"/>
                <w:sz w:val="18"/>
                <w:szCs w:val="18"/>
              </w:rPr>
              <w:t>“</w:t>
            </w:r>
            <w:r>
              <w:rPr>
                <w:rFonts w:ascii="Times New Roman" w:hAnsi="Times New Roman" w:cs="Times New Roman"/>
                <w:color w:val="000000"/>
                <w:sz w:val="18"/>
                <w:szCs w:val="18"/>
              </w:rPr>
              <w:t>among those aligned with the plaintiff rather than extract[ed] ... from the defeated adversary.</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w:t>
            </w:r>
            <w:hyperlink r:id="rId55" w:history="1">
              <w:r>
                <w:rPr>
                  <w:rFonts w:ascii="Times New Roman" w:hAnsi="Times New Roman" w:cs="Times New Roman"/>
                  <w:color w:val="000000"/>
                  <w:sz w:val="18"/>
                  <w:szCs w:val="18"/>
                </w:rPr>
                <w:t xml:space="preserve">Restatement (Third) of Restitution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30</w:t>
              </w:r>
            </w:hyperlink>
            <w:r>
              <w:rPr>
                <w:rFonts w:ascii="Times New Roman" w:hAnsi="Times New Roman" w:cs="Times New Roman"/>
                <w:color w:val="000000"/>
                <w:sz w:val="18"/>
                <w:szCs w:val="18"/>
              </w:rPr>
              <w:t xml:space="preserve"> Reporter’s Note a (Tentative Draft No. 3, 1994) (quoting Thomas D. Rowe, Jr., </w:t>
            </w:r>
            <w:r>
              <w:rPr>
                <w:rFonts w:ascii="Times New Roman" w:hAnsi="Times New Roman" w:cs="Times New Roman"/>
                <w:i/>
                <w:iCs/>
                <w:color w:val="000000"/>
                <w:sz w:val="18"/>
                <w:szCs w:val="18"/>
              </w:rPr>
              <w:t xml:space="preserve">The </w:t>
            </w:r>
            <w:hyperlink r:id="rId56" w:history="1">
              <w:r>
                <w:rPr>
                  <w:rFonts w:ascii="Times New Roman" w:hAnsi="Times New Roman" w:cs="Times New Roman"/>
                  <w:i/>
                  <w:iCs/>
                  <w:color w:val="000000"/>
                  <w:sz w:val="18"/>
                  <w:szCs w:val="18"/>
                </w:rPr>
                <w:t>Legal Theory of Attorney Fee Shifting: A Critical Overview,</w:t>
              </w:r>
              <w:r>
                <w:rPr>
                  <w:rFonts w:ascii="Times New Roman" w:hAnsi="Times New Roman" w:cs="Times New Roman"/>
                  <w:color w:val="000000"/>
                  <w:sz w:val="18"/>
                  <w:szCs w:val="18"/>
                </w:rPr>
                <w:t xml:space="preserve"> 1982 Duke L.J. 651, 662 (19</w:t>
              </w:r>
              <w:r>
                <w:rPr>
                  <w:rFonts w:ascii="Times New Roman" w:hAnsi="Times New Roman" w:cs="Times New Roman"/>
                  <w:color w:val="000000"/>
                  <w:sz w:val="18"/>
                  <w:szCs w:val="18"/>
                </w:rPr>
                <w:t>82)</w:t>
              </w:r>
            </w:hyperlink>
            <w:r>
              <w:rPr>
                <w:rFonts w:ascii="Times New Roman" w:hAnsi="Times New Roman" w:cs="Times New Roman"/>
                <w:color w:val="000000"/>
                <w:sz w:val="18"/>
                <w:szCs w:val="18"/>
              </w:rPr>
              <w:t>). Regardless of specific taxonomy, the common-fund doctrine, as well as the Court’s inherent power to assess fees to compensate appointed managing attorneys, constitute departures from the traditional rule that each litigant bears his or her own cos</w:t>
            </w:r>
            <w:r>
              <w:rPr>
                <w:rFonts w:ascii="Times New Roman" w:hAnsi="Times New Roman" w:cs="Times New Roman"/>
                <w:color w:val="000000"/>
                <w:sz w:val="18"/>
                <w:szCs w:val="18"/>
              </w:rPr>
              <w:t>ts.</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But the common fund doctrine is not limited solely to class actions. </w:t>
      </w:r>
      <w:r>
        <w:rPr>
          <w:rFonts w:ascii="Times New Roman" w:hAnsi="Times New Roman" w:cs="Times New Roman"/>
          <w:i/>
          <w:iCs/>
          <w:color w:val="000000"/>
          <w:sz w:val="20"/>
          <w:szCs w:val="20"/>
        </w:rPr>
        <w:t xml:space="preserve">See </w:t>
      </w:r>
      <w:hyperlink r:id="rId57" w:history="1">
        <w:r>
          <w:rPr>
            <w:rFonts w:ascii="Times New Roman" w:hAnsi="Times New Roman" w:cs="Times New Roman"/>
            <w:i/>
            <w:iCs/>
            <w:color w:val="000000"/>
            <w:sz w:val="20"/>
            <w:szCs w:val="20"/>
          </w:rPr>
          <w:t>Sprague v. Ticonic National Bank,</w:t>
        </w:r>
        <w:r>
          <w:rPr>
            <w:rFonts w:ascii="Times New Roman" w:hAnsi="Times New Roman" w:cs="Times New Roman"/>
            <w:color w:val="000000"/>
            <w:sz w:val="20"/>
            <w:szCs w:val="20"/>
          </w:rPr>
          <w:t xml:space="preserve"> 307 U.S. 161, 59 S.Ct. 777, 83 L.Ed. 1184 (1939)</w:t>
        </w:r>
      </w:hyperlink>
      <w:r>
        <w:rPr>
          <w:rFonts w:ascii="Times New Roman" w:hAnsi="Times New Roman" w:cs="Times New Roman"/>
          <w:color w:val="000000"/>
          <w:sz w:val="20"/>
          <w:szCs w:val="20"/>
        </w:rPr>
        <w:t xml:space="preserve"> (employing common benefit doctrine to award fees and costs to litigant whose success benefitted unrelated parties by establishing their legal rights); Alan Hirsh &amp; Diane </w:t>
      </w:r>
      <w:r>
        <w:rPr>
          <w:rFonts w:ascii="Times New Roman" w:hAnsi="Times New Roman" w:cs="Times New Roman"/>
          <w:color w:val="000000"/>
          <w:sz w:val="20"/>
          <w:szCs w:val="20"/>
        </w:rPr>
        <w:t xml:space="preserve">Sheeley, Fed. Judicial Ctr., </w:t>
      </w:r>
      <w:r>
        <w:rPr>
          <w:rFonts w:ascii="Times New Roman" w:hAnsi="Times New Roman" w:cs="Times New Roman"/>
          <w:i/>
          <w:iCs/>
          <w:color w:val="000000"/>
          <w:sz w:val="20"/>
          <w:szCs w:val="20"/>
        </w:rPr>
        <w:t>Awarding Attorneys’ Fees and Managing Fee Litigation</w:t>
      </w:r>
      <w:r>
        <w:rPr>
          <w:rFonts w:ascii="Times New Roman" w:hAnsi="Times New Roman" w:cs="Times New Roman"/>
          <w:color w:val="000000"/>
          <w:sz w:val="20"/>
          <w:szCs w:val="20"/>
        </w:rPr>
        <w:t xml:space="preserve"> 51 (2nd ed. 2005) (</w:t>
      </w:r>
      <w:r>
        <w:rPr>
          <w:rFonts w:ascii="Times New Roman" w:hAnsi="Times New Roman" w:cs="Times New Roman"/>
          <w:color w:val="000000"/>
          <w:sz w:val="20"/>
          <w:szCs w:val="20"/>
        </w:rPr>
        <w:t>“</w:t>
      </w:r>
      <w:r>
        <w:rPr>
          <w:rFonts w:ascii="Times New Roman" w:hAnsi="Times New Roman" w:cs="Times New Roman"/>
          <w:color w:val="000000"/>
          <w:sz w:val="20"/>
          <w:szCs w:val="20"/>
        </w:rPr>
        <w:t>Although many common fund cases are class actions ... the common fund doctrine is not limited to class actions.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8" w:history="1">
        <w:r>
          <w:rPr>
            <w:rFonts w:ascii="Times New Roman" w:hAnsi="Times New Roman" w:cs="Times New Roman"/>
            <w:color w:val="000000"/>
            <w:sz w:val="20"/>
            <w:szCs w:val="20"/>
          </w:rPr>
          <w:t>Manual for Complex Litigation (Four</w:t>
        </w:r>
        <w:r>
          <w:rPr>
            <w:rFonts w:ascii="Times New Roman" w:hAnsi="Times New Roman" w:cs="Times New Roman"/>
            <w:color w:val="000000"/>
            <w:sz w:val="20"/>
            <w:szCs w:val="20"/>
          </w:rPr>
          <w:t xml:space="preserve">th)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14.121 (2004)</w:t>
        </w:r>
      </w:hyperlink>
      <w:r>
        <w:rPr>
          <w:rFonts w:ascii="Times New Roman" w:hAnsi="Times New Roman" w:cs="Times New Roman"/>
          <w:color w:val="000000"/>
          <w:sz w:val="20"/>
          <w:szCs w:val="20"/>
        </w:rPr>
        <w:t xml:space="preserve">. As class actions morph into multidistrict litigation, as is the modern trend, the common benefit concept has migrated into the latter area. The theoretical bases for the application of this concept to MDLs are the same as for class </w:t>
      </w:r>
      <w:r>
        <w:rPr>
          <w:rFonts w:ascii="Times New Roman" w:hAnsi="Times New Roman" w:cs="Times New Roman"/>
          <w:color w:val="000000"/>
          <w:sz w:val="20"/>
          <w:szCs w:val="20"/>
        </w:rPr>
        <w:t>actions, namely equity and her blood brother, quantum meruit. However, there is a difference. In class actions the beneficiary of the common benefit is the claimant; in MDLs the beneficiary is the primary attorney.</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MDL courts have consistently cited the </w:t>
      </w:r>
      <w:r>
        <w:rPr>
          <w:rFonts w:ascii="Times New Roman" w:hAnsi="Times New Roman" w:cs="Times New Roman"/>
          <w:color w:val="000000"/>
          <w:sz w:val="20"/>
          <w:szCs w:val="20"/>
        </w:rPr>
        <w:t xml:space="preserve">common fund doctrine as a basis for assessing common benefit fees in favor of attorneys who render legal services beneficial to all MDL plaintiffs. </w:t>
      </w:r>
      <w:r>
        <w:rPr>
          <w:rFonts w:ascii="Times New Roman" w:hAnsi="Times New Roman" w:cs="Times New Roman"/>
          <w:i/>
          <w:iCs/>
          <w:color w:val="000000"/>
          <w:sz w:val="20"/>
          <w:szCs w:val="20"/>
        </w:rPr>
        <w:t xml:space="preserve">E.g., </w:t>
      </w:r>
      <w:r>
        <w:rPr>
          <w:rFonts w:ascii="Times New Roman" w:hAnsi="Times New Roman" w:cs="Times New Roman"/>
          <w:color w:val="000000"/>
          <w:sz w:val="20"/>
          <w:szCs w:val="20"/>
        </w:rPr>
        <w:t xml:space="preserve"> </w:t>
      </w:r>
      <w:bookmarkStart w:id="43" w:name="co_pp_sp_4637_648_1"/>
      <w:bookmarkEnd w:id="43"/>
      <w:r>
        <w:rPr>
          <w:rFonts w:ascii="Times New Roman" w:hAnsi="Times New Roman" w:cs="Times New Roman"/>
          <w:b/>
          <w:bCs/>
          <w:color w:val="000000"/>
          <w:sz w:val="20"/>
          <w:szCs w:val="20"/>
        </w:rPr>
        <w:t>*648</w:t>
      </w:r>
      <w:r>
        <w:rPr>
          <w:rFonts w:ascii="Times New Roman" w:hAnsi="Times New Roman" w:cs="Times New Roman"/>
          <w:color w:val="000000"/>
          <w:sz w:val="20"/>
          <w:szCs w:val="20"/>
        </w:rPr>
        <w:t xml:space="preserve"> </w:t>
      </w:r>
      <w:hyperlink r:id="rId59" w:history="1">
        <w:r>
          <w:rPr>
            <w:rFonts w:ascii="Times New Roman" w:hAnsi="Times New Roman" w:cs="Times New Roman"/>
            <w:i/>
            <w:iCs/>
            <w:color w:val="000000"/>
            <w:sz w:val="20"/>
            <w:szCs w:val="20"/>
          </w:rPr>
          <w:t>In re Genetically Modified Rice Litig.,</w:t>
        </w:r>
        <w:r>
          <w:rPr>
            <w:rFonts w:ascii="Times New Roman" w:hAnsi="Times New Roman" w:cs="Times New Roman"/>
            <w:color w:val="000000"/>
            <w:sz w:val="20"/>
            <w:szCs w:val="20"/>
          </w:rPr>
          <w:t xml:space="preserve"> MDL No. 06</w:t>
        </w:r>
        <w:r>
          <w:rPr>
            <w:rFonts w:ascii="Times New Roman" w:hAnsi="Times New Roman" w:cs="Times New Roman"/>
            <w:color w:val="000000"/>
            <w:sz w:val="20"/>
            <w:szCs w:val="20"/>
          </w:rPr>
          <w:t>–</w:t>
        </w:r>
        <w:r>
          <w:rPr>
            <w:rFonts w:ascii="Times New Roman" w:hAnsi="Times New Roman" w:cs="Times New Roman"/>
            <w:color w:val="000000"/>
            <w:sz w:val="20"/>
            <w:szCs w:val="20"/>
          </w:rPr>
          <w:t>1811, 2</w:t>
        </w:r>
        <w:r>
          <w:rPr>
            <w:rFonts w:ascii="Times New Roman" w:hAnsi="Times New Roman" w:cs="Times New Roman"/>
            <w:color w:val="000000"/>
            <w:sz w:val="20"/>
            <w:szCs w:val="20"/>
          </w:rPr>
          <w:t>010 WL 716190, at *4 (E.D.Mo. Feb. 24, 2010)</w:t>
        </w:r>
      </w:hyperlink>
      <w:r>
        <w:rPr>
          <w:rFonts w:ascii="Times New Roman" w:hAnsi="Times New Roman" w:cs="Times New Roman"/>
          <w:color w:val="000000"/>
          <w:sz w:val="20"/>
          <w:szCs w:val="20"/>
        </w:rPr>
        <w:t xml:space="preserve"> (relying on common fund doctrine as an alternate basis to inherent managerial authority and concluding that </w:t>
      </w:r>
      <w:r>
        <w:rPr>
          <w:rFonts w:ascii="Times New Roman" w:hAnsi="Times New Roman" w:cs="Times New Roman"/>
          <w:color w:val="000000"/>
          <w:sz w:val="20"/>
          <w:szCs w:val="20"/>
        </w:rPr>
        <w:t>“</w:t>
      </w:r>
      <w:r>
        <w:rPr>
          <w:rFonts w:ascii="Times New Roman" w:hAnsi="Times New Roman" w:cs="Times New Roman"/>
          <w:color w:val="000000"/>
          <w:sz w:val="20"/>
          <w:szCs w:val="20"/>
        </w:rPr>
        <w:t>[b]oth sources of authority provide the same result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60" w:history="1">
        <w:r>
          <w:rPr>
            <w:rFonts w:ascii="Times New Roman" w:hAnsi="Times New Roman" w:cs="Times New Roman"/>
            <w:i/>
            <w:iCs/>
            <w:color w:val="000000"/>
            <w:sz w:val="20"/>
            <w:szCs w:val="20"/>
          </w:rPr>
          <w:t>In re Guidant Corp. Implantable Defibril</w:t>
        </w:r>
        <w:r>
          <w:rPr>
            <w:rFonts w:ascii="Times New Roman" w:hAnsi="Times New Roman" w:cs="Times New Roman"/>
            <w:i/>
            <w:iCs/>
            <w:color w:val="000000"/>
            <w:sz w:val="20"/>
            <w:szCs w:val="20"/>
          </w:rPr>
          <w:t>lators Prods. Liab. Litig.,</w:t>
        </w:r>
        <w:r>
          <w:rPr>
            <w:rFonts w:ascii="Times New Roman" w:hAnsi="Times New Roman" w:cs="Times New Roman"/>
            <w:color w:val="000000"/>
            <w:sz w:val="20"/>
            <w:szCs w:val="20"/>
          </w:rPr>
          <w:t xml:space="preserve"> MDL No. 05</w:t>
        </w:r>
        <w:r>
          <w:rPr>
            <w:rFonts w:ascii="Times New Roman" w:hAnsi="Times New Roman" w:cs="Times New Roman"/>
            <w:color w:val="000000"/>
            <w:sz w:val="20"/>
            <w:szCs w:val="20"/>
          </w:rPr>
          <w:t>–</w:t>
        </w:r>
        <w:r>
          <w:rPr>
            <w:rFonts w:ascii="Times New Roman" w:hAnsi="Times New Roman" w:cs="Times New Roman"/>
            <w:color w:val="000000"/>
            <w:sz w:val="20"/>
            <w:szCs w:val="20"/>
          </w:rPr>
          <w:t>1708, 2008 WL 682174, at *4 (D.Minn. Mar. 7, 2008)</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accord </w:t>
      </w:r>
      <w:hyperlink r:id="rId61" w:history="1">
        <w:r>
          <w:rPr>
            <w:rFonts w:ascii="Times New Roman" w:hAnsi="Times New Roman" w:cs="Times New Roman"/>
            <w:i/>
            <w:iCs/>
            <w:color w:val="000000"/>
            <w:sz w:val="20"/>
            <w:szCs w:val="20"/>
          </w:rPr>
          <w:t>In re Zyprexa,</w:t>
        </w:r>
        <w:r>
          <w:rPr>
            <w:rFonts w:ascii="Times New Roman" w:hAnsi="Times New Roman" w:cs="Times New Roman"/>
            <w:color w:val="000000"/>
            <w:sz w:val="20"/>
            <w:szCs w:val="20"/>
          </w:rPr>
          <w:t xml:space="preserve"> 594 F.3d at 128</w:t>
        </w:r>
        <w:r>
          <w:rPr>
            <w:rFonts w:ascii="Times New Roman" w:hAnsi="Times New Roman" w:cs="Times New Roman"/>
            <w:color w:val="000000"/>
            <w:sz w:val="20"/>
            <w:szCs w:val="20"/>
          </w:rPr>
          <w:t>–</w:t>
        </w:r>
        <w:r>
          <w:rPr>
            <w:rFonts w:ascii="Times New Roman" w:hAnsi="Times New Roman" w:cs="Times New Roman"/>
            <w:color w:val="000000"/>
            <w:sz w:val="20"/>
            <w:szCs w:val="20"/>
          </w:rPr>
          <w:t>30</w:t>
        </w:r>
      </w:hyperlink>
      <w:r>
        <w:rPr>
          <w:rFonts w:ascii="Times New Roman" w:hAnsi="Times New Roman" w:cs="Times New Roman"/>
          <w:color w:val="000000"/>
          <w:sz w:val="20"/>
          <w:szCs w:val="20"/>
        </w:rPr>
        <w:t xml:space="preserve"> (Kaplan, J., concurring).</w:t>
      </w:r>
      <w:bookmarkStart w:id="44" w:name="co_footnoteReference_B013132024375594_ID"/>
      <w:bookmarkEnd w:id="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"#co_footnote_B013132024375594_1"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13</w:t>
      </w:r>
      <w:r>
        <w:rPr>
          <w:rFonts w:ascii="Times New Roman" w:hAnsi="Times New Roman" w:cs="Times New Roman"/>
          <w:color w:val="000000"/>
          <w:sz w:val="16"/>
          <w:szCs w:val="16"/>
        </w:rPr>
        <w:fldChar w:fldCharType="end"/>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45" w:name="co_footnote_B013132024375594_1"/>
          <w:bookmarkEnd w:id="45"/>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"#co_footnoteReference_B013132024375594_ID"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13</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On the other hand, some commentators take the position that the common fund doctrine does not justify assessment of common benefit fees in consolidated mass tort MDLs. Silver &amp; Miller, </w:t>
            </w:r>
            <w:hyperlink r:id="rId62" w:history="1">
              <w:r>
                <w:rPr>
                  <w:rFonts w:ascii="Times New Roman" w:hAnsi="Times New Roman" w:cs="Times New Roman"/>
                  <w:i/>
                  <w:iCs/>
                  <w:color w:val="000000"/>
                  <w:sz w:val="18"/>
                  <w:szCs w:val="18"/>
                </w:rPr>
                <w:t>supra,</w:t>
              </w:r>
              <w:r>
                <w:rPr>
                  <w:rFonts w:ascii="Times New Roman" w:hAnsi="Times New Roman" w:cs="Times New Roman"/>
                  <w:color w:val="000000"/>
                  <w:sz w:val="18"/>
                  <w:szCs w:val="18"/>
                </w:rPr>
                <w:t xml:space="preserve"> at 120</w:t>
              </w:r>
              <w:r>
                <w:rPr>
                  <w:rFonts w:ascii="Times New Roman" w:hAnsi="Times New Roman" w:cs="Times New Roman"/>
                  <w:color w:val="000000"/>
                  <w:sz w:val="18"/>
                  <w:szCs w:val="18"/>
                </w:rPr>
                <w:t>–</w:t>
              </w:r>
              <w:r>
                <w:rPr>
                  <w:rFonts w:ascii="Times New Roman" w:hAnsi="Times New Roman" w:cs="Times New Roman"/>
                  <w:color w:val="000000"/>
                  <w:sz w:val="18"/>
                  <w:szCs w:val="18"/>
                </w:rPr>
                <w:t>30;</w:t>
              </w:r>
            </w:hyperlink>
            <w:r>
              <w:rPr>
                <w:rFonts w:ascii="Times New Roman" w:hAnsi="Times New Roman" w:cs="Times New Roman"/>
                <w:color w:val="000000"/>
                <w:sz w:val="18"/>
                <w:szCs w:val="18"/>
              </w:rPr>
              <w:t xml:space="preserve"> </w:t>
            </w:r>
            <w:hyperlink r:id="rId63" w:history="1">
              <w:r>
                <w:rPr>
                  <w:rFonts w:ascii="Times New Roman" w:hAnsi="Times New Roman" w:cs="Times New Roman"/>
                  <w:color w:val="000000"/>
                  <w:sz w:val="18"/>
                  <w:szCs w:val="18"/>
                </w:rPr>
                <w:t xml:space="preserve">Restatement (Third) of Restitution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30</w:t>
              </w:r>
            </w:hyperlink>
            <w:r>
              <w:rPr>
                <w:rFonts w:ascii="Times New Roman" w:hAnsi="Times New Roman" w:cs="Times New Roman"/>
                <w:color w:val="000000"/>
                <w:sz w:val="18"/>
                <w:szCs w:val="18"/>
              </w:rPr>
              <w:t xml:space="preserve"> cmt. b (Tentat</w:t>
            </w:r>
            <w:r>
              <w:rPr>
                <w:rFonts w:ascii="Times New Roman" w:hAnsi="Times New Roman" w:cs="Times New Roman"/>
                <w:color w:val="000000"/>
                <w:sz w:val="18"/>
                <w:szCs w:val="18"/>
              </w:rPr>
              <w:t>ive Draft No. 3, 1994) (</w:t>
            </w:r>
            <w:r>
              <w:rPr>
                <w:rFonts w:ascii="Times New Roman" w:hAnsi="Times New Roman" w:cs="Times New Roman"/>
                <w:color w:val="000000"/>
                <w:sz w:val="18"/>
                <w:szCs w:val="18"/>
              </w:rPr>
              <w:t>“</w:t>
            </w:r>
            <w:r>
              <w:rPr>
                <w:rFonts w:ascii="Times New Roman" w:hAnsi="Times New Roman" w:cs="Times New Roman"/>
                <w:color w:val="000000"/>
                <w:sz w:val="18"/>
                <w:szCs w:val="18"/>
              </w:rPr>
              <w:t>By comparison with class actions, court-imposed fees to appointed counsel in consolidated litigation frequently appear inconsistent with restitution principles, since litigants may have no choice but to accept and pay for certain l</w:t>
            </w:r>
            <w:r>
              <w:rPr>
                <w:rFonts w:ascii="Times New Roman" w:hAnsi="Times New Roman" w:cs="Times New Roman"/>
                <w:color w:val="000000"/>
                <w:sz w:val="18"/>
                <w:szCs w:val="18"/>
              </w:rPr>
              <w:t>egal services as directed by the court. The fact that such fees may not be authorized by this Section is probably irrelevant, however, since their predominant rationale is not unjust enrichment but administrative convenience.</w:t>
            </w:r>
            <w:r>
              <w:rPr>
                <w:rFonts w:ascii="Times New Roman" w:hAnsi="Times New Roman" w:cs="Times New Roman"/>
                <w:color w:val="000000"/>
                <w:sz w:val="18"/>
                <w:szCs w:val="18"/>
              </w:rPr>
              <w:t>”</w:t>
            </w:r>
            <w:r>
              <w:rPr>
                <w:rFonts w:ascii="Times New Roman" w:hAnsi="Times New Roman" w:cs="Times New Roman"/>
                <w:color w:val="000000"/>
                <w:sz w:val="18"/>
                <w:szCs w:val="18"/>
              </w:rPr>
              <w:t>).</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hyperlink r:id="rId64" w:history="1">
        <w:r>
          <w:rPr>
            <w:rFonts w:ascii="Times New Roman" w:hAnsi="Times New Roman" w:cs="Times New Roman"/>
            <w:b/>
            <w:bCs/>
            <w:color w:val="000000"/>
            <w:sz w:val="20"/>
            <w:szCs w:val="20"/>
            <w:vertAlign w:val="superscript"/>
          </w:rPr>
          <w:t>[1]</w:t>
        </w:r>
      </w:hyperlink>
      <w:bookmarkStart w:id="46" w:name="co_anchor_B12024375594_1"/>
      <w:bookmarkEnd w:id="46"/>
      <w:r>
        <w:rPr>
          <w:rFonts w:ascii="Times New Roman" w:hAnsi="Times New Roman" w:cs="Times New Roman"/>
          <w:color w:val="000000"/>
          <w:sz w:val="20"/>
          <w:szCs w:val="20"/>
        </w:rPr>
        <w:t xml:space="preserve"> </w:t>
      </w:r>
      <w:hyperlink r:id="rId65" w:history="1">
        <w:r>
          <w:rPr>
            <w:rFonts w:ascii="Times New Roman" w:hAnsi="Times New Roman" w:cs="Times New Roman"/>
            <w:b/>
            <w:bCs/>
            <w:color w:val="000000"/>
            <w:sz w:val="20"/>
            <w:szCs w:val="20"/>
            <w:vertAlign w:val="superscript"/>
          </w:rPr>
          <w:t>[2]</w:t>
        </w:r>
      </w:hyperlink>
      <w:bookmarkStart w:id="47" w:name="co_anchor_B22024375594_1"/>
      <w:bookmarkEnd w:id="47"/>
      <w:r>
        <w:rPr>
          <w:rFonts w:ascii="Times New Roman" w:hAnsi="Times New Roman" w:cs="Times New Roman"/>
          <w:color w:val="000000"/>
          <w:sz w:val="20"/>
          <w:szCs w:val="20"/>
        </w:rPr>
        <w:t xml:space="preserve"> In addition to judicial precedent the Court also finds authority to assess common benefit atto</w:t>
      </w:r>
      <w:r>
        <w:rPr>
          <w:rFonts w:ascii="Times New Roman" w:hAnsi="Times New Roman" w:cs="Times New Roman"/>
          <w:color w:val="000000"/>
          <w:sz w:val="20"/>
          <w:szCs w:val="20"/>
        </w:rPr>
        <w:t xml:space="preserve">rneys’ fees in its inherent managerial authority, particularly in light of the complex nature of this MDL. The Fifth Circuit has long recognized that a court’s power to consolidate and manage litigation necessarily implies a corollary authority to appoint </w:t>
      </w:r>
      <w:r>
        <w:rPr>
          <w:rFonts w:ascii="Times New Roman" w:hAnsi="Times New Roman" w:cs="Times New Roman"/>
          <w:color w:val="000000"/>
          <w:sz w:val="20"/>
          <w:szCs w:val="20"/>
        </w:rPr>
        <w:t xml:space="preserve">lead or liaison counsel and to compensate them for their work. </w:t>
      </w:r>
      <w:r>
        <w:rPr>
          <w:rFonts w:ascii="Times New Roman" w:hAnsi="Times New Roman" w:cs="Times New Roman"/>
          <w:i/>
          <w:iCs/>
          <w:color w:val="000000"/>
          <w:sz w:val="20"/>
          <w:szCs w:val="20"/>
        </w:rPr>
        <w:t xml:space="preserve">See </w:t>
      </w:r>
      <w:hyperlink r:id="rId66" w:history="1">
        <w:r>
          <w:rPr>
            <w:rFonts w:ascii="Times New Roman" w:hAnsi="Times New Roman" w:cs="Times New Roman"/>
            <w:i/>
            <w:iCs/>
            <w:color w:val="000000"/>
            <w:sz w:val="20"/>
            <w:szCs w:val="20"/>
          </w:rPr>
          <w:t>In re Air Crash Disaster at Fl. Everglades on Dec. 29, 1972,</w:t>
        </w:r>
        <w:r>
          <w:rPr>
            <w:rFonts w:ascii="Times New Roman" w:hAnsi="Times New Roman" w:cs="Times New Roman"/>
            <w:color w:val="000000"/>
            <w:sz w:val="20"/>
            <w:szCs w:val="20"/>
          </w:rPr>
          <w:t xml:space="preserve"> 549 F.2d 1006 (1977)</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hyperlink r:id="rId67" w:history="1">
        <w:r>
          <w:rPr>
            <w:rFonts w:ascii="Times New Roman" w:hAnsi="Times New Roman" w:cs="Times New Roman"/>
            <w:i/>
            <w:iCs/>
            <w:color w:val="000000"/>
            <w:sz w:val="20"/>
            <w:szCs w:val="20"/>
          </w:rPr>
          <w:t>Everglades</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w:t>
      </w:r>
      <w:hyperlink r:id="rId68" w:history="1">
        <w:r>
          <w:rPr>
            <w:rFonts w:ascii="Times New Roman" w:hAnsi="Times New Roman" w:cs="Times New Roman"/>
            <w:i/>
            <w:iCs/>
            <w:color w:val="000000"/>
            <w:sz w:val="20"/>
            <w:szCs w:val="20"/>
          </w:rPr>
          <w:t>E</w:t>
        </w:r>
        <w:r>
          <w:rPr>
            <w:rFonts w:ascii="Times New Roman" w:hAnsi="Times New Roman" w:cs="Times New Roman"/>
            <w:i/>
            <w:iCs/>
            <w:color w:val="000000"/>
            <w:sz w:val="20"/>
            <w:szCs w:val="20"/>
          </w:rPr>
          <w:t>verglades,</w:t>
        </w:r>
      </w:hyperlink>
      <w:r>
        <w:rPr>
          <w:rFonts w:ascii="Times New Roman" w:hAnsi="Times New Roman" w:cs="Times New Roman"/>
          <w:color w:val="000000"/>
          <w:sz w:val="20"/>
          <w:szCs w:val="20"/>
        </w:rPr>
        <w:t xml:space="preserve"> the JPML transferred all federal cases arising out of a passenger plane crash near Miami to the Southern District of Florida. </w:t>
      </w:r>
      <w:hyperlink r:id="rId69"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1008.</w:t>
        </w:r>
      </w:hyperlink>
      <w:r>
        <w:rPr>
          <w:rFonts w:ascii="Times New Roman" w:hAnsi="Times New Roman" w:cs="Times New Roman"/>
          <w:color w:val="000000"/>
          <w:sz w:val="20"/>
          <w:szCs w:val="20"/>
        </w:rPr>
        <w:t xml:space="preserve"> The transferee court appointed a Plaintiffs’ Committee to coordinate discovery and pretrial matters, and then t</w:t>
      </w:r>
      <w:r>
        <w:rPr>
          <w:rFonts w:ascii="Times New Roman" w:hAnsi="Times New Roman" w:cs="Times New Roman"/>
          <w:color w:val="000000"/>
          <w:sz w:val="20"/>
          <w:szCs w:val="20"/>
        </w:rPr>
        <w:t xml:space="preserve">o conduct bellwether trials. </w:t>
      </w:r>
      <w:hyperlink r:id="rId70" w:history="1">
        <w:r>
          <w:rPr>
            <w:rFonts w:ascii="Times New Roman" w:hAnsi="Times New Roman" w:cs="Times New Roman"/>
            <w:i/>
            <w:iCs/>
            <w:color w:val="000000"/>
            <w:sz w:val="20"/>
            <w:szCs w:val="20"/>
          </w:rPr>
          <w:t>Id.</w:t>
        </w:r>
      </w:hyperlink>
      <w:r>
        <w:rPr>
          <w:rFonts w:ascii="Times New Roman" w:hAnsi="Times New Roman" w:cs="Times New Roman"/>
          <w:color w:val="000000"/>
          <w:sz w:val="20"/>
          <w:szCs w:val="20"/>
        </w:rPr>
        <w:t xml:space="preserve"> The court compensated the Committee through an assessment on the contingent fees of attorneys who represented MDL plaintiffs but were not on the Committee. </w:t>
      </w:r>
      <w:hyperlink r:id="rId71" w:history="1">
        <w:r>
          <w:rPr>
            <w:rFonts w:ascii="Times New Roman" w:hAnsi="Times New Roman" w:cs="Times New Roman"/>
            <w:i/>
            <w:iCs/>
            <w:color w:val="000000"/>
            <w:sz w:val="20"/>
            <w:szCs w:val="20"/>
          </w:rPr>
          <w:t>Id.</w:t>
        </w:r>
      </w:hyperlink>
      <w:r>
        <w:rPr>
          <w:rFonts w:ascii="Times New Roman" w:hAnsi="Times New Roman" w:cs="Times New Roman"/>
          <w:color w:val="000000"/>
          <w:sz w:val="20"/>
          <w:szCs w:val="20"/>
        </w:rPr>
        <w:t xml:space="preserve"> The non-Committee attorneys appealed and the Fifth Circuit upheld the district </w:t>
      </w:r>
      <w:r>
        <w:rPr>
          <w:rFonts w:ascii="Times New Roman" w:hAnsi="Times New Roman" w:cs="Times New Roman"/>
          <w:color w:val="000000"/>
          <w:sz w:val="20"/>
          <w:szCs w:val="20"/>
        </w:rPr>
        <w:t xml:space="preserve">court’s authority to make that assessment. The Fifth Circuit explained that a district court has inherent authority </w:t>
      </w:r>
      <w:r>
        <w:rPr>
          <w:rFonts w:ascii="Times New Roman" w:hAnsi="Times New Roman" w:cs="Times New Roman"/>
          <w:color w:val="000000"/>
          <w:sz w:val="20"/>
          <w:szCs w:val="20"/>
        </w:rPr>
        <w:t>“</w:t>
      </w:r>
      <w:r>
        <w:rPr>
          <w:rFonts w:ascii="Times New Roman" w:hAnsi="Times New Roman" w:cs="Times New Roman"/>
          <w:color w:val="000000"/>
          <w:sz w:val="20"/>
          <w:szCs w:val="20"/>
        </w:rPr>
        <w:t>to bring management power to bear upon massive and complex litigation to prevent it from monopolizing the services of the court to the excl</w:t>
      </w:r>
      <w:r>
        <w:rPr>
          <w:rFonts w:ascii="Times New Roman" w:hAnsi="Times New Roman" w:cs="Times New Roman"/>
          <w:color w:val="000000"/>
          <w:sz w:val="20"/>
          <w:szCs w:val="20"/>
        </w:rPr>
        <w:t>usion of other litigants.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72"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1012.</w:t>
        </w:r>
      </w:hyperlink>
      <w:r>
        <w:rPr>
          <w:rFonts w:ascii="Times New Roman" w:hAnsi="Times New Roman" w:cs="Times New Roman"/>
          <w:color w:val="000000"/>
          <w:sz w:val="20"/>
          <w:szCs w:val="20"/>
        </w:rPr>
        <w:t xml:space="preserve"> Therefore, an MDL court </w:t>
      </w:r>
      <w:r>
        <w:rPr>
          <w:rFonts w:ascii="Times New Roman" w:hAnsi="Times New Roman" w:cs="Times New Roman"/>
          <w:color w:val="000000"/>
          <w:sz w:val="20"/>
          <w:szCs w:val="20"/>
        </w:rPr>
        <w:t>“</w:t>
      </w:r>
      <w:r>
        <w:rPr>
          <w:rFonts w:ascii="Times New Roman" w:hAnsi="Times New Roman" w:cs="Times New Roman"/>
          <w:color w:val="000000"/>
          <w:sz w:val="20"/>
          <w:szCs w:val="20"/>
        </w:rPr>
        <w:t>may designate one attorney or set of attorneys to handle pre-trial activity on aspects of the case where the interests of all co-parties coincide.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73"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1014.</w:t>
        </w:r>
      </w:hyperlink>
      <w:r>
        <w:rPr>
          <w:rFonts w:ascii="Times New Roman" w:hAnsi="Times New Roman" w:cs="Times New Roman"/>
          <w:color w:val="000000"/>
          <w:sz w:val="20"/>
          <w:szCs w:val="20"/>
        </w:rPr>
        <w:t xml:space="preserve"> Naturally, this authority would be </w:t>
      </w:r>
      <w:r>
        <w:rPr>
          <w:rFonts w:ascii="Times New Roman" w:hAnsi="Times New Roman" w:cs="Times New Roman"/>
          <w:color w:val="000000"/>
          <w:sz w:val="20"/>
          <w:szCs w:val="20"/>
        </w:rPr>
        <w:t>“</w:t>
      </w:r>
      <w:r>
        <w:rPr>
          <w:rFonts w:ascii="Times New Roman" w:hAnsi="Times New Roman" w:cs="Times New Roman"/>
          <w:color w:val="000000"/>
          <w:sz w:val="20"/>
          <w:szCs w:val="20"/>
        </w:rPr>
        <w:t>illusory i</w:t>
      </w:r>
      <w:r>
        <w:rPr>
          <w:rFonts w:ascii="Times New Roman" w:hAnsi="Times New Roman" w:cs="Times New Roman"/>
          <w:color w:val="000000"/>
          <w:sz w:val="20"/>
          <w:szCs w:val="20"/>
        </w:rPr>
        <w:t>f it is dependent upon lead counsel’s performing the duties desired of them for no additional compensation.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74"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1016.</w:t>
        </w:r>
      </w:hyperlink>
      <w:r>
        <w:rPr>
          <w:rFonts w:ascii="Times New Roman" w:hAnsi="Times New Roman" w:cs="Times New Roman"/>
          <w:color w:val="000000"/>
          <w:sz w:val="20"/>
          <w:szCs w:val="20"/>
        </w:rPr>
        <w:t xml:space="preserve"> Assessment of those fees against other retained lawyers who benefitted from the work done was permissible and appropriate. </w:t>
      </w:r>
      <w:r>
        <w:rPr>
          <w:rFonts w:ascii="Times New Roman" w:hAnsi="Times New Roman" w:cs="Times New Roman"/>
          <w:i/>
          <w:iCs/>
          <w:color w:val="000000"/>
          <w:sz w:val="20"/>
          <w:szCs w:val="20"/>
        </w:rPr>
        <w:t xml:space="preserve">See </w:t>
      </w:r>
      <w:hyperlink r:id="rId75"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1019</w:t>
        </w:r>
        <w:r>
          <w:rPr>
            <w:rFonts w:ascii="Times New Roman" w:hAnsi="Times New Roman" w:cs="Times New Roman"/>
            <w:color w:val="000000"/>
            <w:sz w:val="20"/>
            <w:szCs w:val="20"/>
          </w:rPr>
          <w:t>–</w:t>
        </w:r>
        <w:r>
          <w:rPr>
            <w:rFonts w:ascii="Times New Roman" w:hAnsi="Times New Roman" w:cs="Times New Roman"/>
            <w:color w:val="000000"/>
            <w:sz w:val="20"/>
            <w:szCs w:val="20"/>
          </w:rPr>
          <w:t>20.</w:t>
        </w:r>
      </w:hyperlink>
      <w:bookmarkStart w:id="48" w:name="co_footnoteReference_B014142024375594_ID"/>
      <w:bookmarkEnd w:id="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"#co_footnote_B014142024375594_1"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 courts have applied this inherent authority to compensate common benefit counsel in </w:t>
      </w:r>
      <w:r>
        <w:rPr>
          <w:rFonts w:ascii="Times New Roman" w:hAnsi="Times New Roman" w:cs="Times New Roman"/>
          <w:color w:val="000000"/>
          <w:sz w:val="20"/>
          <w:szCs w:val="20"/>
        </w:rPr>
        <w:lastRenderedPageBreak/>
        <w:t xml:space="preserve">complex litigation. </w:t>
      </w:r>
      <w:r>
        <w:rPr>
          <w:rFonts w:ascii="Times New Roman" w:hAnsi="Times New Roman" w:cs="Times New Roman"/>
          <w:i/>
          <w:iCs/>
          <w:color w:val="000000"/>
          <w:sz w:val="20"/>
          <w:szCs w:val="20"/>
        </w:rPr>
        <w:t xml:space="preserve">E.g., </w:t>
      </w:r>
      <w:hyperlink r:id="rId76" w:history="1">
        <w:r>
          <w:rPr>
            <w:rFonts w:ascii="Times New Roman" w:hAnsi="Times New Roman" w:cs="Times New Roman"/>
            <w:i/>
            <w:iCs/>
            <w:color w:val="000000"/>
            <w:sz w:val="20"/>
            <w:szCs w:val="20"/>
          </w:rPr>
          <w:t>In re Diet Drugs,</w:t>
        </w:r>
        <w:r>
          <w:rPr>
            <w:rFonts w:ascii="Times New Roman" w:hAnsi="Times New Roman" w:cs="Times New Roman"/>
            <w:color w:val="000000"/>
            <w:sz w:val="20"/>
            <w:szCs w:val="20"/>
          </w:rPr>
          <w:t xml:space="preserve"> 582 F.3d 524, 546</w:t>
        </w:r>
        <w:r>
          <w:rPr>
            <w:rFonts w:ascii="Times New Roman" w:hAnsi="Times New Roman" w:cs="Times New Roman"/>
            <w:color w:val="000000"/>
            <w:sz w:val="20"/>
            <w:szCs w:val="20"/>
          </w:rPr>
          <w:t>–</w:t>
        </w:r>
        <w:r>
          <w:rPr>
            <w:rFonts w:ascii="Times New Roman" w:hAnsi="Times New Roman" w:cs="Times New Roman"/>
            <w:color w:val="000000"/>
            <w:sz w:val="20"/>
            <w:szCs w:val="20"/>
          </w:rPr>
          <w:t>47 (3rd Cir.2009)</w:t>
        </w:r>
      </w:hyperlink>
      <w:r>
        <w:rPr>
          <w:rFonts w:ascii="Times New Roman" w:hAnsi="Times New Roman" w:cs="Times New Roman"/>
          <w:color w:val="000000"/>
          <w:sz w:val="20"/>
          <w:szCs w:val="20"/>
        </w:rPr>
        <w:t xml:space="preserve">; </w:t>
      </w:r>
      <w:hyperlink r:id="rId77" w:history="1">
        <w:r>
          <w:rPr>
            <w:rFonts w:ascii="Times New Roman" w:hAnsi="Times New Roman" w:cs="Times New Roman"/>
            <w:i/>
            <w:iCs/>
            <w:color w:val="000000"/>
            <w:sz w:val="20"/>
            <w:szCs w:val="20"/>
          </w:rPr>
          <w:t>In re Genetically Modified Rice Litig.,</w:t>
        </w:r>
        <w:r>
          <w:rPr>
            <w:rFonts w:ascii="Times New Roman" w:hAnsi="Times New Roman" w:cs="Times New Roman"/>
            <w:color w:val="000000"/>
            <w:sz w:val="20"/>
            <w:szCs w:val="20"/>
          </w:rPr>
          <w:t xml:space="preserve"> 2010 WL 716190, at *4</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An MDL court’s authority to establish a trust and to order compensations to compensate leadership counsel derive</w:t>
      </w:r>
      <w:r>
        <w:rPr>
          <w:rFonts w:ascii="Times New Roman" w:hAnsi="Times New Roman" w:cs="Times New Roman"/>
          <w:color w:val="000000"/>
          <w:sz w:val="20"/>
          <w:szCs w:val="20"/>
        </w:rPr>
        <w:t xml:space="preserve">s from its </w:t>
      </w:r>
      <w:r>
        <w:rPr>
          <w:rFonts w:ascii="Times New Roman" w:hAnsi="Times New Roman" w:cs="Times New Roman"/>
          <w:color w:val="000000"/>
          <w:sz w:val="20"/>
          <w:szCs w:val="20"/>
        </w:rPr>
        <w:t>‘</w:t>
      </w:r>
      <w:r>
        <w:rPr>
          <w:rFonts w:ascii="Times New Roman" w:hAnsi="Times New Roman" w:cs="Times New Roman"/>
          <w:color w:val="000000"/>
          <w:sz w:val="20"/>
          <w:szCs w:val="20"/>
        </w:rPr>
        <w:t>managerial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power over the consolidated litigation, and, to some extent, from its inherent equitable power.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78" w:history="1">
        <w:r>
          <w:rPr>
            <w:rFonts w:ascii="Times New Roman" w:hAnsi="Times New Roman" w:cs="Times New Roman"/>
            <w:i/>
            <w:iCs/>
            <w:color w:val="000000"/>
            <w:sz w:val="20"/>
            <w:szCs w:val="20"/>
          </w:rPr>
          <w:t>In re Guidant,</w:t>
        </w:r>
        <w:r>
          <w:rPr>
            <w:rFonts w:ascii="Times New Roman" w:hAnsi="Times New Roman" w:cs="Times New Roman"/>
            <w:color w:val="000000"/>
            <w:sz w:val="20"/>
            <w:szCs w:val="20"/>
          </w:rPr>
          <w:t xml:space="preserve"> 2008 WL 682174, at *5;</w:t>
        </w:r>
      </w:hyperlink>
      <w:r>
        <w:rPr>
          <w:rFonts w:ascii="Times New Roman" w:hAnsi="Times New Roman" w:cs="Times New Roman"/>
          <w:color w:val="000000"/>
          <w:sz w:val="20"/>
          <w:szCs w:val="20"/>
        </w:rPr>
        <w:t xml:space="preserve"> </w:t>
      </w:r>
      <w:bookmarkStart w:id="49" w:name="co_pp_sp_4637_649_1"/>
      <w:bookmarkEnd w:id="49"/>
      <w:r>
        <w:rPr>
          <w:rFonts w:ascii="Times New Roman" w:hAnsi="Times New Roman" w:cs="Times New Roman"/>
          <w:b/>
          <w:bCs/>
          <w:color w:val="000000"/>
          <w:sz w:val="20"/>
          <w:szCs w:val="20"/>
        </w:rPr>
        <w:t>*649</w:t>
      </w:r>
      <w:r>
        <w:rPr>
          <w:rFonts w:ascii="Times New Roman" w:hAnsi="Times New Roman" w:cs="Times New Roman"/>
          <w:color w:val="000000"/>
          <w:sz w:val="20"/>
          <w:szCs w:val="20"/>
        </w:rPr>
        <w:t xml:space="preserve"> </w:t>
      </w:r>
      <w:hyperlink r:id="rId79" w:history="1">
        <w:r>
          <w:rPr>
            <w:rFonts w:ascii="Times New Roman" w:hAnsi="Times New Roman" w:cs="Times New Roman"/>
            <w:i/>
            <w:iCs/>
            <w:color w:val="000000"/>
            <w:sz w:val="20"/>
            <w:szCs w:val="20"/>
          </w:rPr>
          <w:t>In re Zyprexa Prods. Liab. Litig.,</w:t>
        </w:r>
        <w:r>
          <w:rPr>
            <w:rFonts w:ascii="Times New Roman" w:hAnsi="Times New Roman" w:cs="Times New Roman"/>
            <w:color w:val="000000"/>
            <w:sz w:val="20"/>
            <w:szCs w:val="20"/>
          </w:rPr>
          <w:t xml:space="preserve"> 467 F.Supp.2d 256, 265</w:t>
        </w:r>
        <w:r>
          <w:rPr>
            <w:rFonts w:ascii="Times New Roman" w:hAnsi="Times New Roman" w:cs="Times New Roman"/>
            <w:color w:val="000000"/>
            <w:sz w:val="20"/>
            <w:szCs w:val="20"/>
          </w:rPr>
          <w:t>–</w:t>
        </w:r>
        <w:r>
          <w:rPr>
            <w:rFonts w:ascii="Times New Roman" w:hAnsi="Times New Roman" w:cs="Times New Roman"/>
            <w:color w:val="000000"/>
            <w:sz w:val="20"/>
            <w:szCs w:val="20"/>
          </w:rPr>
          <w:t>66 (E.D.N.Y.2006)</w:t>
        </w:r>
      </w:hyperlink>
      <w:r>
        <w:rPr>
          <w:rFonts w:ascii="Times New Roman" w:hAnsi="Times New Roman" w:cs="Times New Roman"/>
          <w:color w:val="000000"/>
          <w:sz w:val="20"/>
          <w:szCs w:val="20"/>
        </w:rPr>
        <w:t xml:space="preserve">; </w:t>
      </w:r>
      <w:hyperlink r:id="rId80" w:history="1">
        <w:r>
          <w:rPr>
            <w:rFonts w:ascii="Times New Roman" w:hAnsi="Times New Roman" w:cs="Times New Roman"/>
            <w:i/>
            <w:iCs/>
            <w:color w:val="000000"/>
            <w:sz w:val="20"/>
            <w:szCs w:val="20"/>
          </w:rPr>
          <w:t>In re Linerboard Antitrust Litig.,</w:t>
        </w:r>
        <w:r>
          <w:rPr>
            <w:rFonts w:ascii="Times New Roman" w:hAnsi="Times New Roman" w:cs="Times New Roman"/>
            <w:color w:val="000000"/>
            <w:sz w:val="20"/>
            <w:szCs w:val="20"/>
          </w:rPr>
          <w:t xml:space="preserve"> 292 F.Supp.2d 644, 653</w:t>
        </w:r>
        <w:r>
          <w:rPr>
            <w:rFonts w:ascii="Times New Roman" w:hAnsi="Times New Roman" w:cs="Times New Roman"/>
            <w:color w:val="000000"/>
            <w:sz w:val="20"/>
            <w:szCs w:val="20"/>
          </w:rPr>
          <w:t>–</w:t>
        </w:r>
        <w:r>
          <w:rPr>
            <w:rFonts w:ascii="Times New Roman" w:hAnsi="Times New Roman" w:cs="Times New Roman"/>
            <w:color w:val="000000"/>
            <w:sz w:val="20"/>
            <w:szCs w:val="20"/>
          </w:rPr>
          <w:t>56 (E.D.Pa.2003)</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w:t>
      </w:r>
      <w:hyperlink r:id="rId81" w:history="1">
        <w:r>
          <w:rPr>
            <w:rFonts w:ascii="Times New Roman" w:hAnsi="Times New Roman" w:cs="Times New Roman"/>
            <w:color w:val="000000"/>
            <w:sz w:val="20"/>
            <w:szCs w:val="20"/>
          </w:rPr>
          <w:t xml:space="preserve">Manual for Complex Litigation (Fourth)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w:t>
        </w:r>
        <w:r>
          <w:rPr>
            <w:rFonts w:ascii="Times New Roman" w:hAnsi="Times New Roman" w:cs="Times New Roman"/>
            <w:color w:val="000000"/>
            <w:sz w:val="20"/>
            <w:szCs w:val="20"/>
          </w:rPr>
          <w:t>62 (2004)</w:t>
        </w:r>
      </w:hyperlink>
      <w:r>
        <w:rPr>
          <w:rFonts w:ascii="Times New Roman" w:hAnsi="Times New Roman" w:cs="Times New Roman"/>
          <w:color w:val="000000"/>
          <w:sz w:val="20"/>
          <w:szCs w:val="20"/>
        </w:rPr>
        <w:t xml:space="preserve">; </w:t>
      </w:r>
      <w:hyperlink r:id="rId82" w:history="1">
        <w:r>
          <w:rPr>
            <w:rFonts w:ascii="Times New Roman" w:hAnsi="Times New Roman" w:cs="Times New Roman"/>
            <w:color w:val="000000"/>
            <w:sz w:val="20"/>
            <w:szCs w:val="20"/>
          </w:rPr>
          <w:t xml:space="preserve">Restatement (Third) of Restitution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30</w:t>
        </w:r>
      </w:hyperlink>
      <w:r>
        <w:rPr>
          <w:rFonts w:ascii="Times New Roman" w:hAnsi="Times New Roman" w:cs="Times New Roman"/>
          <w:color w:val="000000"/>
          <w:sz w:val="20"/>
          <w:szCs w:val="20"/>
        </w:rPr>
        <w:t xml:space="preserve"> Reporter’s Note b (Tentative Draft No. 3, 1994) (</w:t>
      </w:r>
      <w:r>
        <w:rPr>
          <w:rFonts w:ascii="Times New Roman" w:hAnsi="Times New Roman" w:cs="Times New Roman"/>
          <w:color w:val="000000"/>
          <w:sz w:val="20"/>
          <w:szCs w:val="20"/>
        </w:rPr>
        <w:t>“</w:t>
      </w:r>
      <w:r>
        <w:rPr>
          <w:rFonts w:ascii="Times New Roman" w:hAnsi="Times New Roman" w:cs="Times New Roman"/>
          <w:color w:val="000000"/>
          <w:sz w:val="20"/>
          <w:szCs w:val="20"/>
        </w:rPr>
        <w:t>In contrast to the standard view of class-action fees, which explains them as restitutionary, the leading accounts of fees to court-appointed cou</w:t>
      </w:r>
      <w:r>
        <w:rPr>
          <w:rFonts w:ascii="Times New Roman" w:hAnsi="Times New Roman" w:cs="Times New Roman"/>
          <w:color w:val="000000"/>
          <w:sz w:val="20"/>
          <w:szCs w:val="20"/>
        </w:rPr>
        <w:t>nsel in consolidated litigation properly emphasize factors independent of restitution to justify the imposition of a liability by court order.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(citing </w:t>
      </w:r>
      <w:hyperlink r:id="rId83" w:history="1">
        <w:r>
          <w:rPr>
            <w:rFonts w:ascii="Times New Roman" w:hAnsi="Times New Roman" w:cs="Times New Roman"/>
            <w:i/>
            <w:iCs/>
            <w:color w:val="000000"/>
            <w:sz w:val="20"/>
            <w:szCs w:val="20"/>
          </w:rPr>
          <w:t>Everglades</w:t>
        </w:r>
        <w:r>
          <w:rPr>
            <w:rFonts w:ascii="Times New Roman" w:hAnsi="Times New Roman" w:cs="Times New Roman"/>
            <w:color w:val="000000"/>
            <w:sz w:val="20"/>
            <w:szCs w:val="20"/>
          </w:rPr>
          <w:t xml:space="preserve"> ).</w:t>
        </w:r>
      </w:hyperlink>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50" w:name="co_footnote_B014142024375594_1"/>
          <w:bookmarkEnd w:id="50"/>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"#co_footnoteReference_B0</w:instrText>
            </w:r>
            <w:r>
              <w:rPr>
                <w:rFonts w:ascii="Times New Roman" w:hAnsi="Times New Roman" w:cs="Times New Roman"/>
                <w:color w:val="000000"/>
                <w:sz w:val="20"/>
                <w:szCs w:val="20"/>
              </w:rPr>
              <w:instrText xml:space="preserve">14142024375594_ID"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14</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The Fifth Circuit also found support in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the body of law concerning the inherent equitable power of a trial court to allow counsel fees and litigation expenses out of the proceeds of a fund that has been created ... by successful </w:t>
            </w:r>
            <w:r>
              <w:rPr>
                <w:rFonts w:ascii="Times New Roman" w:hAnsi="Times New Roman" w:cs="Times New Roman"/>
                <w:color w:val="000000"/>
                <w:sz w:val="18"/>
                <w:szCs w:val="18"/>
              </w:rPr>
              <w:t>litigation,</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which the Court discussed above. </w:t>
            </w:r>
            <w:hyperlink r:id="rId84" w:history="1">
              <w:r>
                <w:rPr>
                  <w:rFonts w:ascii="Times New Roman" w:hAnsi="Times New Roman" w:cs="Times New Roman"/>
                  <w:i/>
                  <w:iCs/>
                  <w:color w:val="000000"/>
                  <w:sz w:val="18"/>
                  <w:szCs w:val="18"/>
                </w:rPr>
                <w:t>Id.</w:t>
              </w:r>
              <w:r>
                <w:rPr>
                  <w:rFonts w:ascii="Times New Roman" w:hAnsi="Times New Roman" w:cs="Times New Roman"/>
                  <w:color w:val="000000"/>
                  <w:sz w:val="18"/>
                  <w:szCs w:val="18"/>
                </w:rPr>
                <w:t xml:space="preserve"> at 1017.</w:t>
              </w:r>
            </w:hyperlink>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In addition to equity, quantum meruit, and inherent managerial authority, the Court derives express authority in this case from the terms of the Settlement Agreement entered into by the parties and consented to by their primary attorneys. Section 9.2 of th</w:t>
      </w:r>
      <w:r>
        <w:rPr>
          <w:rFonts w:ascii="Times New Roman" w:hAnsi="Times New Roman" w:cs="Times New Roman"/>
          <w:color w:val="000000"/>
          <w:sz w:val="20"/>
          <w:szCs w:val="20"/>
        </w:rPr>
        <w:t xml:space="preserve">e Settlement Agreement governs common benefit fees and expressly authorizes the Court to determine common benefit attorneys’ fees. Settlement Agreement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9.2.5.</w:t>
      </w:r>
      <w:bookmarkStart w:id="51" w:name="co_footnoteReference_B015152024375594_ID"/>
      <w:bookmarkEnd w:id="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w:instrText>
      </w:r>
      <w:r>
        <w:rPr>
          <w:rFonts w:ascii="Times New Roman" w:hAnsi="Times New Roman" w:cs="Times New Roman"/>
          <w:color w:val="000000"/>
          <w:sz w:val="16"/>
          <w:szCs w:val="16"/>
        </w:rPr>
        <w:instrText xml:space="preserve">ootnote_B015152024375594_1"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fact the PLC asks the Court to exercise the aforementioned authority and award common benefit fees under the terms of the Settlement Agreement.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52" w:name="co_footnote_B015152024375594_1"/>
          <w:bookmarkEnd w:id="52"/>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"#co_footnoteReference_B015152024375594_ID"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15</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The Court takes this opportunity to discuss the initial fee assessments set by the Court in Pretrial Order 19, as well as criticism that the NPC did an end-run around those agreements and </w:t>
            </w:r>
            <w:r>
              <w:rPr>
                <w:rFonts w:ascii="Times New Roman" w:hAnsi="Times New Roman" w:cs="Times New Roman"/>
                <w:color w:val="000000"/>
                <w:sz w:val="18"/>
                <w:szCs w:val="18"/>
              </w:rPr>
              <w:t>“</w:t>
            </w:r>
            <w:r>
              <w:rPr>
                <w:rFonts w:ascii="Times New Roman" w:hAnsi="Times New Roman" w:cs="Times New Roman"/>
                <w:color w:val="000000"/>
                <w:sz w:val="18"/>
                <w:szCs w:val="18"/>
              </w:rPr>
              <w:t>used t</w:t>
            </w:r>
            <w:r>
              <w:rPr>
                <w:rFonts w:ascii="Times New Roman" w:hAnsi="Times New Roman" w:cs="Times New Roman"/>
                <w:color w:val="000000"/>
                <w:sz w:val="18"/>
                <w:szCs w:val="18"/>
              </w:rPr>
              <w:t>heir control of settlement negotiations to make more money available for themselves.</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Silver &amp; Miller, </w:t>
            </w:r>
            <w:r>
              <w:rPr>
                <w:rFonts w:ascii="Times New Roman" w:hAnsi="Times New Roman" w:cs="Times New Roman"/>
                <w:i/>
                <w:iCs/>
                <w:color w:val="000000"/>
                <w:sz w:val="18"/>
                <w:szCs w:val="18"/>
              </w:rPr>
              <w:t>supra</w:t>
            </w:r>
            <w:r>
              <w:rPr>
                <w:rFonts w:ascii="Times New Roman" w:hAnsi="Times New Roman" w:cs="Times New Roman"/>
                <w:color w:val="000000"/>
                <w:sz w:val="18"/>
                <w:szCs w:val="18"/>
              </w:rPr>
              <w:t xml:space="preserve"> at 132. The PTO 19 fee assessment agreements were reasonable and appropriate to create a fund to compensate common benefit attorneys for the consol</w:t>
            </w:r>
            <w:r>
              <w:rPr>
                <w:rFonts w:ascii="Times New Roman" w:hAnsi="Times New Roman" w:cs="Times New Roman"/>
                <w:color w:val="000000"/>
                <w:sz w:val="18"/>
                <w:szCs w:val="18"/>
              </w:rPr>
              <w:t xml:space="preserve">idated MDL discovery work that was contemplated at that early stage of the </w:t>
            </w:r>
            <w:r>
              <w:rPr>
                <w:rFonts w:ascii="Times New Roman" w:hAnsi="Times New Roman" w:cs="Times New Roman"/>
                <w:color w:val="000000"/>
                <w:sz w:val="18"/>
                <w:szCs w:val="18"/>
              </w:rPr>
              <w:t>litigation. When circumstances changed as a result of the extensive discovery, numerous trials, and through negotiation and implementation of a global opt-in settlement, it became n</w:t>
            </w:r>
            <w:r>
              <w:rPr>
                <w:rFonts w:ascii="Times New Roman" w:hAnsi="Times New Roman" w:cs="Times New Roman"/>
                <w:color w:val="000000"/>
                <w:sz w:val="18"/>
                <w:szCs w:val="18"/>
              </w:rPr>
              <w:t>ecessary to reevaluate the reasonable compensation for the common benefit attorneys who accomplished those tasks. The claimants and their attorneys acknowledged those changed circumstances when they accepted the terms of the Settlement Agreement which supp</w:t>
            </w:r>
            <w:r>
              <w:rPr>
                <w:rFonts w:ascii="Times New Roman" w:hAnsi="Times New Roman" w:cs="Times New Roman"/>
                <w:color w:val="000000"/>
                <w:sz w:val="18"/>
                <w:szCs w:val="18"/>
              </w:rPr>
              <w:t xml:space="preserve">lanted the PTO 19 assessments. Settlement Agreement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9.2.1. Moreover, the Court’s equitable and managerial authority and duty to award fair common benefit fees or to adjust contingent fees exists independent of contractual agreement, and the Court’s autho</w:t>
            </w:r>
            <w:r>
              <w:rPr>
                <w:rFonts w:ascii="Times New Roman" w:hAnsi="Times New Roman" w:cs="Times New Roman"/>
                <w:color w:val="000000"/>
                <w:sz w:val="18"/>
                <w:szCs w:val="18"/>
              </w:rPr>
              <w:t xml:space="preserve">rity to do justice by reducing attorneys’ fees necessarily encompasses the corollary authority to increase fees where appropriate. </w:t>
            </w:r>
            <w:r>
              <w:rPr>
                <w:rFonts w:ascii="Times New Roman" w:hAnsi="Times New Roman" w:cs="Times New Roman"/>
                <w:i/>
                <w:iCs/>
                <w:color w:val="000000"/>
                <w:sz w:val="18"/>
                <w:szCs w:val="18"/>
              </w:rPr>
              <w:t xml:space="preserve">See </w:t>
            </w:r>
            <w:hyperlink r:id="rId85" w:history="1">
              <w:r>
                <w:rPr>
                  <w:rFonts w:ascii="Times New Roman" w:hAnsi="Times New Roman" w:cs="Times New Roman"/>
                  <w:i/>
                  <w:iCs/>
                  <w:color w:val="000000"/>
                  <w:sz w:val="18"/>
                  <w:szCs w:val="18"/>
                </w:rPr>
                <w:t>Guidant,</w:t>
              </w:r>
              <w:r>
                <w:rPr>
                  <w:rFonts w:ascii="Times New Roman" w:hAnsi="Times New Roman" w:cs="Times New Roman"/>
                  <w:color w:val="000000"/>
                  <w:sz w:val="18"/>
                  <w:szCs w:val="18"/>
                </w:rPr>
                <w:t xml:space="preserve"> 2008 WL 682174, at *11</w:t>
              </w:r>
              <w:r>
                <w:rPr>
                  <w:rFonts w:ascii="Times New Roman" w:hAnsi="Times New Roman" w:cs="Times New Roman"/>
                  <w:color w:val="000000"/>
                  <w:sz w:val="18"/>
                  <w:szCs w:val="18"/>
                </w:rPr>
                <w:t>–</w:t>
              </w:r>
              <w:r>
                <w:rPr>
                  <w:rFonts w:ascii="Times New Roman" w:hAnsi="Times New Roman" w:cs="Times New Roman"/>
                  <w:color w:val="000000"/>
                  <w:sz w:val="18"/>
                  <w:szCs w:val="18"/>
                </w:rPr>
                <w:t>12</w:t>
              </w:r>
            </w:hyperlink>
            <w:r>
              <w:rPr>
                <w:rFonts w:ascii="Times New Roman" w:hAnsi="Times New Roman" w:cs="Times New Roman"/>
                <w:color w:val="000000"/>
                <w:sz w:val="18"/>
                <w:szCs w:val="18"/>
              </w:rPr>
              <w:t>.</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Although the Objectors have now withdrawn their objections to this fee request,</w:t>
      </w:r>
      <w:r>
        <w:rPr>
          <w:rFonts w:ascii="Times New Roman" w:hAnsi="Times New Roman" w:cs="Times New Roman"/>
          <w:color w:val="000000"/>
          <w:sz w:val="20"/>
          <w:szCs w:val="20"/>
        </w:rPr>
        <w:t xml:space="preserve"> the Court has had the benefit of their briefing and argument, as well as briefs and supplemental briefs from the PLC honed through the fair opportunity for objection.</w:t>
      </w:r>
      <w:bookmarkStart w:id="53" w:name="co_footnoteReference_B016162024375594_ID"/>
      <w:bookmarkEnd w:id="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w:instrText>
      </w:r>
      <w:r>
        <w:rPr>
          <w:rFonts w:ascii="Times New Roman" w:hAnsi="Times New Roman" w:cs="Times New Roman"/>
          <w:color w:val="000000"/>
          <w:sz w:val="16"/>
          <w:szCs w:val="16"/>
        </w:rPr>
        <w:instrText xml:space="preserve"> "#co_footnote_B016162024375594_1"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Compare </w:t>
      </w:r>
      <w:hyperlink r:id="rId86" w:history="1">
        <w:r>
          <w:rPr>
            <w:rFonts w:ascii="Times New Roman" w:hAnsi="Times New Roman" w:cs="Times New Roman"/>
            <w:i/>
            <w:iCs/>
            <w:color w:val="000000"/>
            <w:sz w:val="20"/>
            <w:szCs w:val="20"/>
          </w:rPr>
          <w:t>In re Cabletron Sys., Inc. Sec. Litig.,</w:t>
        </w:r>
        <w:r>
          <w:rPr>
            <w:rFonts w:ascii="Times New Roman" w:hAnsi="Times New Roman" w:cs="Times New Roman"/>
            <w:color w:val="000000"/>
            <w:sz w:val="20"/>
            <w:szCs w:val="20"/>
          </w:rPr>
          <w:t xml:space="preserve"> 239 F.R.D. 30, 38 (D.N.H.2006)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With no adversary to challenge the Plaintiffs’ proposal, the Court has been left to fend for its</w:t>
      </w:r>
      <w:r>
        <w:rPr>
          <w:rFonts w:ascii="Times New Roman" w:hAnsi="Times New Roman" w:cs="Times New Roman"/>
          <w:color w:val="000000"/>
          <w:sz w:val="20"/>
          <w:szCs w:val="20"/>
        </w:rPr>
        <w:t>elf in crafting an approach for assessing reasonableness.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Merck has remained silent pursuant to the terms of the Settlement Agreement. Settlement Agreement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9.2.6.</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54" w:name="co_footnote_B016162024375594_1"/>
          <w:bookmarkEnd w:id="54"/>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w:instrText>
            </w:r>
            <w:r>
              <w:rPr>
                <w:rFonts w:ascii="Times New Roman" w:hAnsi="Times New Roman" w:cs="Times New Roman"/>
                <w:color w:val="000000"/>
                <w:sz w:val="20"/>
                <w:szCs w:val="20"/>
              </w:rPr>
              <w:instrText xml:space="preserve">erence_B016162024375594_ID"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16</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This not to say that third parties have not commented upon and criticized the PLC’s fee request. Professors Silver and Miller assert that </w:t>
            </w:r>
            <w:r>
              <w:rPr>
                <w:rFonts w:ascii="Times New Roman" w:hAnsi="Times New Roman" w:cs="Times New Roman"/>
                <w:color w:val="000000"/>
                <w:sz w:val="18"/>
                <w:szCs w:val="18"/>
              </w:rPr>
              <w:t>“</w:t>
            </w:r>
            <w:r>
              <w:rPr>
                <w:rFonts w:ascii="Times New Roman" w:hAnsi="Times New Roman" w:cs="Times New Roman"/>
                <w:color w:val="000000"/>
                <w:sz w:val="18"/>
                <w:szCs w:val="18"/>
              </w:rPr>
              <w:t>[the PLC] used their position to benefit themselves at the expense of those they w</w:t>
            </w:r>
            <w:r>
              <w:rPr>
                <w:rFonts w:ascii="Times New Roman" w:hAnsi="Times New Roman" w:cs="Times New Roman"/>
                <w:color w:val="000000"/>
                <w:sz w:val="18"/>
                <w:szCs w:val="18"/>
              </w:rPr>
              <w:t>ere charged to represent. Conduct of this sort establishes a predicate for fee forfeiture, not for fee enhancement.</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hyperlink r:id="rId87" w:history="1">
              <w:r>
                <w:rPr>
                  <w:rFonts w:ascii="Times New Roman" w:hAnsi="Times New Roman" w:cs="Times New Roman"/>
                  <w:color w:val="000000"/>
                  <w:sz w:val="18"/>
                  <w:szCs w:val="18"/>
                </w:rPr>
                <w:t>63 Vand. L.Rev. at 135.</w:t>
              </w:r>
            </w:hyperlink>
            <w:r>
              <w:rPr>
                <w:rFonts w:ascii="Times New Roman" w:hAnsi="Times New Roman" w:cs="Times New Roman"/>
                <w:color w:val="000000"/>
                <w:sz w:val="18"/>
                <w:szCs w:val="18"/>
              </w:rPr>
              <w:t xml:space="preserve"> Professors Silver and Miller served </w:t>
            </w:r>
            <w:r>
              <w:rPr>
                <w:rFonts w:ascii="Times New Roman" w:hAnsi="Times New Roman" w:cs="Times New Roman"/>
                <w:color w:val="000000"/>
                <w:sz w:val="18"/>
                <w:szCs w:val="18"/>
              </w:rPr>
              <w:t>“</w:t>
            </w:r>
            <w:r>
              <w:rPr>
                <w:rFonts w:ascii="Times New Roman" w:hAnsi="Times New Roman" w:cs="Times New Roman"/>
                <w:color w:val="000000"/>
                <w:sz w:val="18"/>
                <w:szCs w:val="18"/>
              </w:rPr>
              <w:t>as paid consultants to a group of a</w:t>
            </w:r>
            <w:r>
              <w:rPr>
                <w:rFonts w:ascii="Times New Roman" w:hAnsi="Times New Roman" w:cs="Times New Roman"/>
                <w:color w:val="000000"/>
                <w:sz w:val="18"/>
                <w:szCs w:val="18"/>
              </w:rPr>
              <w:t>ttorneys in the Vioxx MDL who have questioned or challenged aspects of the settlement, including the fee assessment.</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hyperlink r:id="rId88" w:history="1">
              <w:r>
                <w:rPr>
                  <w:rFonts w:ascii="Times New Roman" w:hAnsi="Times New Roman" w:cs="Times New Roman"/>
                  <w:i/>
                  <w:iCs/>
                  <w:color w:val="000000"/>
                  <w:sz w:val="18"/>
                  <w:szCs w:val="18"/>
                </w:rPr>
                <w:t>Id.</w:t>
              </w:r>
              <w:r>
                <w:rPr>
                  <w:rFonts w:ascii="Times New Roman" w:hAnsi="Times New Roman" w:cs="Times New Roman"/>
                  <w:color w:val="000000"/>
                  <w:sz w:val="18"/>
                  <w:szCs w:val="18"/>
                </w:rPr>
                <w:t xml:space="preserve"> at 107 n. 1.</w:t>
              </w:r>
            </w:hyperlink>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PLC contends in its briefing and argument that its requested award of 7.5% of the settlement amount as common benefit fees is justified by other common benefit assessments and awards in MDL cases, by the work done, by a review of the </w:t>
      </w:r>
      <w:hyperlink r:id="rId89"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factors, and by a </w:t>
      </w:r>
      <w:r>
        <w:rPr>
          <w:rFonts w:ascii="Times New Roman" w:hAnsi="Times New Roman" w:cs="Times New Roman"/>
          <w:color w:val="000000"/>
          <w:sz w:val="20"/>
          <w:szCs w:val="20"/>
        </w:rPr>
        <w:t xml:space="preserve">lodestar cross-check. Keeping in mind that the ultimate </w:t>
      </w:r>
      <w:bookmarkStart w:id="55" w:name="co_pp_sp_4637_650_1"/>
      <w:bookmarkEnd w:id="55"/>
      <w:r>
        <w:rPr>
          <w:rFonts w:ascii="Times New Roman" w:hAnsi="Times New Roman" w:cs="Times New Roman"/>
          <w:b/>
          <w:bCs/>
          <w:color w:val="000000"/>
          <w:sz w:val="20"/>
          <w:szCs w:val="20"/>
        </w:rPr>
        <w:t>*650</w:t>
      </w:r>
      <w:r>
        <w:rPr>
          <w:rFonts w:ascii="Times New Roman" w:hAnsi="Times New Roman" w:cs="Times New Roman"/>
          <w:color w:val="000000"/>
          <w:sz w:val="20"/>
          <w:szCs w:val="20"/>
        </w:rPr>
        <w:t xml:space="preserve"> goal is reasonableness while mindful that reasonableness, like beauty, is often in the eye of the beholder, the Court is </w:t>
      </w:r>
      <w:r>
        <w:rPr>
          <w:rFonts w:ascii="Times New Roman" w:hAnsi="Times New Roman" w:cs="Times New Roman"/>
          <w:color w:val="000000"/>
          <w:sz w:val="20"/>
          <w:szCs w:val="20"/>
        </w:rPr>
        <w:lastRenderedPageBreak/>
        <w:t>prepared to rule.</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56" w:name="co_anchor_I95b00dd39b6911e38578f7ccc38dc"/>
      <w:bookmarkEnd w:id="56"/>
    </w:p>
    <w:p w:rsidR="00000000" w:rsidRDefault="001C0C97">
      <w:pPr>
        <w:widowControl w:val="0"/>
        <w:autoSpaceDE w:val="0"/>
        <w:autoSpaceDN w:val="0"/>
        <w:adjustRightInd w:val="0"/>
        <w:spacing w:before="200"/>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B. Methodology for Calculation of Attorneys’ Fees</w:t>
      </w:r>
    </w:p>
    <w:p w:rsidR="00000000" w:rsidRDefault="001C0C97">
      <w:pPr>
        <w:widowControl w:val="0"/>
        <w:autoSpaceDE w:val="0"/>
        <w:autoSpaceDN w:val="0"/>
        <w:adjustRightInd w:val="0"/>
        <w:spacing w:before="400" w:after="20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Generally</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Over the years courts have employed various methods to determine the reasonableness of an award of attorneys’</w:t>
      </w:r>
      <w:r>
        <w:rPr>
          <w:rFonts w:ascii="Times New Roman" w:hAnsi="Times New Roman" w:cs="Times New Roman"/>
          <w:color w:val="000000"/>
          <w:sz w:val="20"/>
          <w:szCs w:val="20"/>
        </w:rPr>
        <w:t xml:space="preserve"> fees. These methods include the </w:t>
      </w:r>
      <w:r>
        <w:rPr>
          <w:rFonts w:ascii="Times New Roman" w:hAnsi="Times New Roman" w:cs="Times New Roman"/>
          <w:color w:val="000000"/>
          <w:sz w:val="20"/>
          <w:szCs w:val="20"/>
        </w:rPr>
        <w:t>“</w:t>
      </w:r>
      <w:r>
        <w:rPr>
          <w:rFonts w:ascii="Times New Roman" w:hAnsi="Times New Roman" w:cs="Times New Roman"/>
          <w:color w:val="000000"/>
          <w:sz w:val="20"/>
          <w:szCs w:val="20"/>
        </w:rPr>
        <w:t>lodestar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method, which entails multiplying the reasonable hours expended on the litigation by an adjusted reasonable hourly rate, </w:t>
      </w:r>
      <w:r>
        <w:rPr>
          <w:rFonts w:ascii="Times New Roman" w:hAnsi="Times New Roman" w:cs="Times New Roman"/>
          <w:i/>
          <w:iCs/>
          <w:color w:val="000000"/>
          <w:sz w:val="20"/>
          <w:szCs w:val="20"/>
        </w:rPr>
        <w:t xml:space="preserve">see </w:t>
      </w:r>
      <w:hyperlink r:id="rId90" w:history="1">
        <w:r>
          <w:rPr>
            <w:rFonts w:ascii="Times New Roman" w:hAnsi="Times New Roman" w:cs="Times New Roman"/>
            <w:i/>
            <w:iCs/>
            <w:color w:val="000000"/>
            <w:sz w:val="20"/>
            <w:szCs w:val="20"/>
          </w:rPr>
          <w:t>Copper Liquor, Inc. v. Adolph Coors Co.,</w:t>
        </w:r>
        <w:r>
          <w:rPr>
            <w:rFonts w:ascii="Times New Roman" w:hAnsi="Times New Roman" w:cs="Times New Roman"/>
            <w:color w:val="000000"/>
            <w:sz w:val="20"/>
            <w:szCs w:val="20"/>
          </w:rPr>
          <w:t xml:space="preserve"> 624 F.2d </w:t>
        </w:r>
        <w:r>
          <w:rPr>
            <w:rFonts w:ascii="Times New Roman" w:hAnsi="Times New Roman" w:cs="Times New Roman"/>
            <w:color w:val="000000"/>
            <w:sz w:val="20"/>
            <w:szCs w:val="20"/>
          </w:rPr>
          <w:t>575, 583 &amp; n. 15 (5th Cir.1980)</w:t>
        </w:r>
      </w:hyperlink>
      <w:r>
        <w:rPr>
          <w:rFonts w:ascii="Times New Roman" w:hAnsi="Times New Roman" w:cs="Times New Roman"/>
          <w:color w:val="000000"/>
          <w:sz w:val="20"/>
          <w:szCs w:val="20"/>
        </w:rPr>
        <w:t>; the percentage method, in which the Court compensates attorneys who recovered some identifiable sum by awarding them a fraction of that sum; or, more recently, a combination of both methods in which a percentage is award</w:t>
      </w:r>
      <w:r>
        <w:rPr>
          <w:rFonts w:ascii="Times New Roman" w:hAnsi="Times New Roman" w:cs="Times New Roman"/>
          <w:color w:val="000000"/>
          <w:sz w:val="20"/>
          <w:szCs w:val="20"/>
        </w:rPr>
        <w:t>ed and checked for reasonableness by use of the lodestar method.</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16"/>
          <w:szCs w:val="16"/>
        </w:rPr>
      </w:pPr>
      <w:hyperlink r:id="rId91" w:history="1">
        <w:r>
          <w:rPr>
            <w:rFonts w:ascii="Times New Roman" w:hAnsi="Times New Roman" w:cs="Times New Roman"/>
            <w:b/>
            <w:bCs/>
            <w:color w:val="000000"/>
            <w:sz w:val="20"/>
            <w:szCs w:val="20"/>
            <w:vertAlign w:val="superscript"/>
          </w:rPr>
          <w:t>[3]</w:t>
        </w:r>
      </w:hyperlink>
      <w:bookmarkStart w:id="57" w:name="co_anchor_B32024375594_1"/>
      <w:bookmarkEnd w:id="57"/>
      <w:r>
        <w:rPr>
          <w:rFonts w:ascii="Times New Roman" w:hAnsi="Times New Roman" w:cs="Times New Roman"/>
          <w:color w:val="000000"/>
          <w:sz w:val="20"/>
          <w:szCs w:val="20"/>
        </w:rPr>
        <w:t xml:space="preserve"> In the Fifth Circuit, attorneys’ fees have traditionally been calculated using the lodestar meth</w:t>
      </w:r>
      <w:r>
        <w:rPr>
          <w:rFonts w:ascii="Times New Roman" w:hAnsi="Times New Roman" w:cs="Times New Roman"/>
          <w:color w:val="000000"/>
          <w:sz w:val="20"/>
          <w:szCs w:val="20"/>
        </w:rPr>
        <w:t xml:space="preserve">od. The resulting lodestar figure, or the product of the reasonable hours worked by the reasonable hourly rate, is then adjusted by a multiplier in light of the twelve </w:t>
      </w:r>
      <w:hyperlink r:id="rId92"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factors. </w:t>
      </w:r>
      <w:r>
        <w:rPr>
          <w:rFonts w:ascii="Times New Roman" w:hAnsi="Times New Roman" w:cs="Times New Roman"/>
          <w:i/>
          <w:iCs/>
          <w:color w:val="000000"/>
          <w:sz w:val="20"/>
          <w:szCs w:val="20"/>
        </w:rPr>
        <w:t xml:space="preserve">See </w:t>
      </w:r>
      <w:hyperlink r:id="rId93" w:history="1">
        <w:r>
          <w:rPr>
            <w:rFonts w:ascii="Times New Roman" w:hAnsi="Times New Roman" w:cs="Times New Roman"/>
            <w:i/>
            <w:iCs/>
            <w:color w:val="000000"/>
            <w:sz w:val="20"/>
            <w:szCs w:val="20"/>
          </w:rPr>
          <w:t>Johnson v. Ga. Highway Express, Inc.,</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488 F.2d 714, 717</w:t>
        </w:r>
        <w:r>
          <w:rPr>
            <w:rFonts w:ascii="Times New Roman" w:hAnsi="Times New Roman" w:cs="Times New Roman"/>
            <w:color w:val="000000"/>
            <w:sz w:val="20"/>
            <w:szCs w:val="20"/>
          </w:rPr>
          <w:t>–</w:t>
        </w:r>
        <w:r>
          <w:rPr>
            <w:rFonts w:ascii="Times New Roman" w:hAnsi="Times New Roman" w:cs="Times New Roman"/>
            <w:color w:val="000000"/>
            <w:sz w:val="20"/>
            <w:szCs w:val="20"/>
          </w:rPr>
          <w:t>19 (5th Cir.1974)</w:t>
        </w:r>
      </w:hyperlink>
      <w:r>
        <w:rPr>
          <w:rFonts w:ascii="Times New Roman" w:hAnsi="Times New Roman" w:cs="Times New Roman"/>
          <w:color w:val="000000"/>
          <w:sz w:val="20"/>
          <w:szCs w:val="20"/>
        </w:rPr>
        <w:t>. These factors include: (1) the time and labor required; (2) the novelty and difficulty of the questions; (3) the skill requisite to perform the legal service properly; (4) the preclusion of other employment by the at</w:t>
      </w:r>
      <w:r>
        <w:rPr>
          <w:rFonts w:ascii="Times New Roman" w:hAnsi="Times New Roman" w:cs="Times New Roman"/>
          <w:color w:val="000000"/>
          <w:sz w:val="20"/>
          <w:szCs w:val="20"/>
        </w:rPr>
        <w:t xml:space="preserve">torney due to acceptance of the case; (5) the customary fee; (6) whether the fee is fixed or contingent; (7) time limitations imposed by the client or the circumstances; (8) the amount involved and the results obtained; (9) the experience, reputation, and </w:t>
      </w:r>
      <w:r>
        <w:rPr>
          <w:rFonts w:ascii="Times New Roman" w:hAnsi="Times New Roman" w:cs="Times New Roman"/>
          <w:color w:val="000000"/>
          <w:sz w:val="20"/>
          <w:szCs w:val="20"/>
        </w:rPr>
        <w:t xml:space="preserve">ability of the attorneys; (10) the </w:t>
      </w:r>
      <w:r>
        <w:rPr>
          <w:rFonts w:ascii="Times New Roman" w:hAnsi="Times New Roman" w:cs="Times New Roman"/>
          <w:color w:val="000000"/>
          <w:sz w:val="20"/>
          <w:szCs w:val="20"/>
        </w:rPr>
        <w:t>“</w:t>
      </w:r>
      <w:r>
        <w:rPr>
          <w:rFonts w:ascii="Times New Roman" w:hAnsi="Times New Roman" w:cs="Times New Roman"/>
          <w:color w:val="000000"/>
          <w:sz w:val="20"/>
          <w:szCs w:val="20"/>
        </w:rPr>
        <w:t>undesirability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the case; (11) the nature and length of the professional relationship with the client; and (12) awards in similar cases. </w:t>
      </w:r>
      <w:hyperlink r:id="rId94"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95" w:history="1">
        <w:r>
          <w:rPr>
            <w:rFonts w:ascii="Times New Roman" w:hAnsi="Times New Roman" w:cs="Times New Roman"/>
            <w:i/>
            <w:iCs/>
            <w:color w:val="000000"/>
            <w:sz w:val="20"/>
            <w:szCs w:val="20"/>
          </w:rPr>
          <w:t>Von Clark v. Butler,</w:t>
        </w:r>
        <w:r>
          <w:rPr>
            <w:rFonts w:ascii="Times New Roman" w:hAnsi="Times New Roman" w:cs="Times New Roman"/>
            <w:color w:val="000000"/>
            <w:sz w:val="20"/>
            <w:szCs w:val="20"/>
          </w:rPr>
          <w:t xml:space="preserve"> 916 F.2d 255, 258 n. 3 (5th Cir.1990)</w:t>
        </w:r>
      </w:hyperlink>
      <w:r>
        <w:rPr>
          <w:rFonts w:ascii="Times New Roman" w:hAnsi="Times New Roman" w:cs="Times New Roman"/>
          <w:color w:val="000000"/>
          <w:sz w:val="20"/>
          <w:szCs w:val="20"/>
        </w:rPr>
        <w:t>.</w:t>
      </w:r>
      <w:bookmarkStart w:id="58" w:name="co_footnoteReference_B017172024375594_ID"/>
      <w:bookmarkEnd w:id="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"#co_footnote_B017172024375594_1"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17</w:t>
      </w:r>
      <w:r>
        <w:rPr>
          <w:rFonts w:ascii="Times New Roman" w:hAnsi="Times New Roman" w:cs="Times New Roman"/>
          <w:color w:val="000000"/>
          <w:sz w:val="16"/>
          <w:szCs w:val="16"/>
        </w:rPr>
        <w:fldChar w:fldCharType="end"/>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59" w:name="co_footnote_B017172024375594_1"/>
          <w:bookmarkEnd w:id="59"/>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"#co_footnoteReference_B017172024375594_ID"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17</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In </w:t>
            </w:r>
            <w:hyperlink r:id="rId96" w:history="1">
              <w:r>
                <w:rPr>
                  <w:rFonts w:ascii="Times New Roman" w:hAnsi="Times New Roman" w:cs="Times New Roman"/>
                  <w:i/>
                  <w:iCs/>
                  <w:color w:val="000000"/>
                  <w:sz w:val="18"/>
                  <w:szCs w:val="18"/>
                </w:rPr>
                <w:t>Mathis v. Exxon Corp.,</w:t>
              </w:r>
              <w:r>
                <w:rPr>
                  <w:rFonts w:ascii="Times New Roman" w:hAnsi="Times New Roman" w:cs="Times New Roman"/>
                  <w:color w:val="000000"/>
                  <w:sz w:val="18"/>
                  <w:szCs w:val="18"/>
                </w:rPr>
                <w:t xml:space="preserve"> 302 F.3d 448, 461 (5th Cir.2002)</w:t>
              </w:r>
            </w:hyperlink>
            <w:r>
              <w:rPr>
                <w:rFonts w:ascii="Times New Roman" w:hAnsi="Times New Roman" w:cs="Times New Roman"/>
                <w:color w:val="000000"/>
                <w:sz w:val="18"/>
                <w:szCs w:val="18"/>
              </w:rPr>
              <w:t xml:space="preserve">, the Fifth Circuit held that </w:t>
            </w:r>
            <w:r>
              <w:rPr>
                <w:rFonts w:ascii="Times New Roman" w:hAnsi="Times New Roman" w:cs="Times New Roman"/>
                <w:color w:val="000000"/>
                <w:sz w:val="18"/>
                <w:szCs w:val="18"/>
              </w:rPr>
              <w:t>“</w:t>
            </w:r>
            <w:r>
              <w:rPr>
                <w:rFonts w:ascii="Times New Roman" w:hAnsi="Times New Roman" w:cs="Times New Roman"/>
                <w:color w:val="000000"/>
                <w:sz w:val="18"/>
                <w:szCs w:val="18"/>
              </w:rPr>
              <w:t>[s]tate law controls both the a</w:t>
            </w:r>
            <w:r>
              <w:rPr>
                <w:rFonts w:ascii="Times New Roman" w:hAnsi="Times New Roman" w:cs="Times New Roman"/>
                <w:color w:val="000000"/>
                <w:sz w:val="18"/>
                <w:szCs w:val="18"/>
              </w:rPr>
              <w:t>ward of and the reasonableness of fees awarded where state law supplies the rule of decision.</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The Court will nevertheless utilize the </w:t>
            </w:r>
            <w:hyperlink r:id="rId97" w:history="1">
              <w:r>
                <w:rPr>
                  <w:rFonts w:ascii="Times New Roman" w:hAnsi="Times New Roman" w:cs="Times New Roman"/>
                  <w:i/>
                  <w:iCs/>
                  <w:color w:val="000000"/>
                  <w:sz w:val="18"/>
                  <w:szCs w:val="18"/>
                </w:rPr>
                <w:t>Johnson</w:t>
              </w:r>
            </w:hyperlink>
            <w:r>
              <w:rPr>
                <w:rFonts w:ascii="Times New Roman" w:hAnsi="Times New Roman" w:cs="Times New Roman"/>
                <w:color w:val="000000"/>
                <w:sz w:val="18"/>
                <w:szCs w:val="18"/>
              </w:rPr>
              <w:t xml:space="preserve"> framework in this case. This matter is before the court through MDL jurisdiction and the global settlement of these claim</w:t>
            </w:r>
            <w:r>
              <w:rPr>
                <w:rFonts w:ascii="Times New Roman" w:hAnsi="Times New Roman" w:cs="Times New Roman"/>
                <w:color w:val="000000"/>
                <w:sz w:val="18"/>
                <w:szCs w:val="18"/>
              </w:rPr>
              <w:t xml:space="preserve">s ensures that state law has supplied no rule of decision. Further, as previously </w:t>
            </w:r>
            <w:r>
              <w:rPr>
                <w:rFonts w:ascii="Times New Roman" w:hAnsi="Times New Roman" w:cs="Times New Roman"/>
                <w:color w:val="000000"/>
                <w:sz w:val="18"/>
                <w:szCs w:val="18"/>
              </w:rPr>
              <w:t>noted in connection with its Order and Reasons capping attorneys’ fees at 32%, this Court has the equitable and inherent authority in all federal courts to determine a fair c</w:t>
            </w:r>
            <w:r>
              <w:rPr>
                <w:rFonts w:ascii="Times New Roman" w:hAnsi="Times New Roman" w:cs="Times New Roman"/>
                <w:color w:val="000000"/>
                <w:sz w:val="18"/>
                <w:szCs w:val="18"/>
              </w:rPr>
              <w:t xml:space="preserve">ommon benefit fee as well as express authority under the Settlement Agreement. </w:t>
            </w:r>
            <w:hyperlink r:id="rId98" w:history="1">
              <w:r>
                <w:rPr>
                  <w:rFonts w:ascii="Times New Roman" w:hAnsi="Times New Roman" w:cs="Times New Roman"/>
                  <w:i/>
                  <w:iCs/>
                  <w:color w:val="000000"/>
                  <w:sz w:val="18"/>
                  <w:szCs w:val="18"/>
                </w:rPr>
                <w:t>In re Vioxx,</w:t>
              </w:r>
              <w:r>
                <w:rPr>
                  <w:rFonts w:ascii="Times New Roman" w:hAnsi="Times New Roman" w:cs="Times New Roman"/>
                  <w:color w:val="000000"/>
                  <w:sz w:val="18"/>
                  <w:szCs w:val="18"/>
                </w:rPr>
                <w:t xml:space="preserve"> 650 F.Supp.2d at 558</w:t>
              </w:r>
              <w:r>
                <w:rPr>
                  <w:rFonts w:ascii="Times New Roman" w:hAnsi="Times New Roman" w:cs="Times New Roman"/>
                  <w:color w:val="000000"/>
                  <w:sz w:val="18"/>
                  <w:szCs w:val="18"/>
                </w:rPr>
                <w:t>–</w:t>
              </w:r>
              <w:r>
                <w:rPr>
                  <w:rFonts w:ascii="Times New Roman" w:hAnsi="Times New Roman" w:cs="Times New Roman"/>
                  <w:color w:val="000000"/>
                  <w:sz w:val="18"/>
                  <w:szCs w:val="18"/>
                </w:rPr>
                <w:t>62;</w:t>
              </w:r>
            </w:hyperlink>
            <w:r>
              <w:rPr>
                <w:rFonts w:ascii="Times New Roman" w:hAnsi="Times New Roman" w:cs="Times New Roman"/>
                <w:color w:val="000000"/>
                <w:sz w:val="18"/>
                <w:szCs w:val="18"/>
              </w:rPr>
              <w:t xml:space="preserve"> </w:t>
            </w:r>
            <w:hyperlink r:id="rId99" w:history="1">
              <w:r>
                <w:rPr>
                  <w:rFonts w:ascii="Times New Roman" w:hAnsi="Times New Roman" w:cs="Times New Roman"/>
                  <w:i/>
                  <w:iCs/>
                  <w:color w:val="000000"/>
                  <w:sz w:val="18"/>
                  <w:szCs w:val="18"/>
                </w:rPr>
                <w:t>In re Vioxx,</w:t>
              </w:r>
              <w:r>
                <w:rPr>
                  <w:rFonts w:ascii="Times New Roman" w:hAnsi="Times New Roman" w:cs="Times New Roman"/>
                  <w:color w:val="000000"/>
                  <w:sz w:val="18"/>
                  <w:szCs w:val="18"/>
                </w:rPr>
                <w:t xml:space="preserve"> 574 F.Supp.2d at 610</w:t>
              </w:r>
              <w:r>
                <w:rPr>
                  <w:rFonts w:ascii="Times New Roman" w:hAnsi="Times New Roman" w:cs="Times New Roman"/>
                  <w:color w:val="000000"/>
                  <w:sz w:val="18"/>
                  <w:szCs w:val="18"/>
                </w:rPr>
                <w:t>–</w:t>
              </w:r>
              <w:r>
                <w:rPr>
                  <w:rFonts w:ascii="Times New Roman" w:hAnsi="Times New Roman" w:cs="Times New Roman"/>
                  <w:color w:val="000000"/>
                  <w:sz w:val="18"/>
                  <w:szCs w:val="18"/>
                </w:rPr>
                <w:t>14</w:t>
              </w:r>
            </w:hyperlink>
            <w:r>
              <w:rPr>
                <w:rFonts w:ascii="Times New Roman" w:hAnsi="Times New Roman" w:cs="Times New Roman"/>
                <w:color w:val="000000"/>
                <w:sz w:val="18"/>
                <w:szCs w:val="18"/>
              </w:rPr>
              <w:t>.</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lodestar</w:t>
      </w:r>
      <w:r>
        <w:rPr>
          <w:rFonts w:ascii="Times New Roman" w:hAnsi="Times New Roman" w:cs="Times New Roman"/>
          <w:color w:val="000000"/>
          <w:sz w:val="20"/>
          <w:szCs w:val="20"/>
        </w:rPr>
        <w:t xml:space="preserve"> method is not without flaws, especially when employed in common fund cases. As an influential report by the Third Circuit Task Force concluded, the drawbacks of the lodestar method include:</w:t>
      </w:r>
    </w:p>
    <w:p w:rsidR="00000000" w:rsidRDefault="001C0C97">
      <w:pPr>
        <w:widowControl w:val="0"/>
        <w:autoSpaceDE w:val="0"/>
        <w:autoSpaceDN w:val="0"/>
        <w:adjustRightInd w:val="0"/>
        <w:spacing w:before="250" w:after="50"/>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(1) increased workload on an already overtaxed judicial system, (</w:t>
      </w:r>
      <w:r>
        <w:rPr>
          <w:rFonts w:ascii="Times New Roman" w:hAnsi="Times New Roman" w:cs="Times New Roman"/>
          <w:color w:val="000000"/>
          <w:sz w:val="20"/>
          <w:szCs w:val="20"/>
        </w:rPr>
        <w:t>2) inconsistent application of the approach and widely varied fee awards, (3) illusory mathematical precision unwarranted by the realities of the practice of law, (4) potential for manipulation, (5) reward of wasteful and excessive attorney effort, (6) dis</w:t>
      </w:r>
      <w:r>
        <w:rPr>
          <w:rFonts w:ascii="Times New Roman" w:hAnsi="Times New Roman" w:cs="Times New Roman"/>
          <w:color w:val="000000"/>
          <w:sz w:val="20"/>
          <w:szCs w:val="20"/>
        </w:rPr>
        <w:t>incentive for early settlement, (7) insufficient flexibility for judicial control of litigation, (8) discouragement of public interest litigation, and (9) confusion and lack of predictability in setting fee awards.</w:t>
      </w:r>
    </w:p>
    <w:p w:rsidR="00000000" w:rsidRDefault="001C0C97">
      <w:pPr>
        <w:widowControl w:val="0"/>
        <w:autoSpaceDE w:val="0"/>
        <w:autoSpaceDN w:val="0"/>
        <w:adjustRightInd w:val="0"/>
        <w:spacing w:before="200"/>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Vaughn R. Walker &amp; Ben Horwich, </w:t>
      </w:r>
      <w:r>
        <w:rPr>
          <w:rFonts w:ascii="Times New Roman" w:hAnsi="Times New Roman" w:cs="Times New Roman"/>
          <w:i/>
          <w:iCs/>
          <w:color w:val="000000"/>
          <w:sz w:val="20"/>
          <w:szCs w:val="20"/>
        </w:rPr>
        <w:t xml:space="preserve">The </w:t>
      </w:r>
      <w:hyperlink r:id="rId100" w:history="1">
        <w:r>
          <w:rPr>
            <w:rFonts w:ascii="Times New Roman" w:hAnsi="Times New Roman" w:cs="Times New Roman"/>
            <w:i/>
            <w:iCs/>
            <w:color w:val="000000"/>
            <w:sz w:val="20"/>
            <w:szCs w:val="20"/>
          </w:rPr>
          <w:t>Ethical Imperative of a Lodestar Cross</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Check: Judicial Misgivings About </w:t>
        </w:r>
        <w:bookmarkStart w:id="60" w:name="co_pp_sp_4637_651_1"/>
        <w:bookmarkEnd w:id="60"/>
        <w:r>
          <w:rPr>
            <w:rFonts w:ascii="Times New Roman" w:hAnsi="Times New Roman" w:cs="Times New Roman"/>
            <w:b/>
            <w:bCs/>
            <w:color w:val="000000"/>
            <w:sz w:val="20"/>
            <w:szCs w:val="20"/>
          </w:rPr>
          <w:t>*651</w:t>
        </w:r>
        <w:r>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Reasonable Percentage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Fees in Common Fund Cases,</w:t>
        </w:r>
        <w:r>
          <w:rPr>
            <w:rFonts w:ascii="Times New Roman" w:hAnsi="Times New Roman" w:cs="Times New Roman"/>
            <w:color w:val="000000"/>
            <w:sz w:val="20"/>
            <w:szCs w:val="20"/>
          </w:rPr>
          <w:t xml:space="preserve"> 18 Geo. J. Legal Ethics 1453, 1456 (2005)</w:t>
        </w:r>
      </w:hyperlink>
      <w:r>
        <w:rPr>
          <w:rFonts w:ascii="Times New Roman" w:hAnsi="Times New Roman" w:cs="Times New Roman"/>
          <w:color w:val="000000"/>
          <w:sz w:val="20"/>
          <w:szCs w:val="20"/>
        </w:rPr>
        <w:t xml:space="preserve"> (su</w:t>
      </w:r>
      <w:r>
        <w:rPr>
          <w:rFonts w:ascii="Times New Roman" w:hAnsi="Times New Roman" w:cs="Times New Roman"/>
          <w:color w:val="000000"/>
          <w:sz w:val="20"/>
          <w:szCs w:val="20"/>
        </w:rPr>
        <w:t xml:space="preserve">mmarizing </w:t>
      </w:r>
      <w:hyperlink r:id="rId101" w:history="1">
        <w:r>
          <w:rPr>
            <w:rFonts w:ascii="Times New Roman" w:hAnsi="Times New Roman" w:cs="Times New Roman"/>
            <w:i/>
            <w:iCs/>
            <w:color w:val="000000"/>
            <w:sz w:val="20"/>
            <w:szCs w:val="20"/>
          </w:rPr>
          <w:t>Court Awarded Attorney Fees, Report of the Third Circuit Task Force,</w:t>
        </w:r>
        <w:r>
          <w:rPr>
            <w:rFonts w:ascii="Times New Roman" w:hAnsi="Times New Roman" w:cs="Times New Roman"/>
            <w:color w:val="000000"/>
            <w:sz w:val="20"/>
            <w:szCs w:val="20"/>
          </w:rPr>
          <w:t xml:space="preserve"> 108 F.R.D. 237 (1985)</w:t>
        </w:r>
      </w:hyperlink>
      <w:r>
        <w:rPr>
          <w:rFonts w:ascii="Times New Roman" w:hAnsi="Times New Roman" w:cs="Times New Roman"/>
          <w:color w:val="000000"/>
          <w:sz w:val="20"/>
          <w:szCs w:val="20"/>
        </w:rPr>
        <w:t>) (internal quotations omitted).</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In reaction to the difficulties with the lodestar method, courts turned to awarding a percentage of the recovered comm</w:t>
      </w:r>
      <w:r>
        <w:rPr>
          <w:rFonts w:ascii="Times New Roman" w:hAnsi="Times New Roman" w:cs="Times New Roman"/>
          <w:color w:val="000000"/>
          <w:sz w:val="20"/>
          <w:szCs w:val="20"/>
        </w:rPr>
        <w:t xml:space="preserve">on benefit fund as attorneys’ fees. The popularity of this method gained momentum following the publication of the aforementioned Third Circuit Task Force report in 1985. Recognizing the </w:t>
      </w:r>
      <w:r>
        <w:rPr>
          <w:rFonts w:ascii="Times New Roman" w:hAnsi="Times New Roman" w:cs="Times New Roman"/>
          <w:color w:val="000000"/>
          <w:sz w:val="20"/>
          <w:szCs w:val="20"/>
        </w:rPr>
        <w:t>“</w:t>
      </w:r>
      <w:r>
        <w:rPr>
          <w:rFonts w:ascii="Times New Roman" w:hAnsi="Times New Roman" w:cs="Times New Roman"/>
          <w:color w:val="000000"/>
          <w:sz w:val="20"/>
          <w:szCs w:val="20"/>
        </w:rPr>
        <w:t>contingent risk of nonpayment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such cases, courts have found that</w:t>
      </w:r>
      <w:r>
        <w:rPr>
          <w:rFonts w:ascii="Times New Roman" w:hAnsi="Times New Roman" w:cs="Times New Roman"/>
          <w:color w:val="000000"/>
          <w:sz w:val="20"/>
          <w:szCs w:val="20"/>
        </w:rPr>
        <w:t xml:space="preserve"> class or lead counsel ought to be compensated </w:t>
      </w:r>
      <w:r>
        <w:rPr>
          <w:rFonts w:ascii="Times New Roman" w:hAnsi="Times New Roman" w:cs="Times New Roman"/>
          <w:color w:val="000000"/>
          <w:sz w:val="20"/>
          <w:szCs w:val="20"/>
        </w:rPr>
        <w:t>“</w:t>
      </w:r>
      <w:r>
        <w:rPr>
          <w:rFonts w:ascii="Times New Roman" w:hAnsi="Times New Roman" w:cs="Times New Roman"/>
          <w:color w:val="000000"/>
          <w:sz w:val="20"/>
          <w:szCs w:val="20"/>
        </w:rPr>
        <w:t>both for services rendered and for risk of loss or nonpayment assumed by carrying through with the case.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02" w:history="1">
        <w:r>
          <w:rPr>
            <w:rFonts w:ascii="Times New Roman" w:hAnsi="Times New Roman" w:cs="Times New Roman"/>
            <w:i/>
            <w:iCs/>
            <w:color w:val="000000"/>
            <w:sz w:val="20"/>
            <w:szCs w:val="20"/>
          </w:rPr>
          <w:t>In re Combustion, Inc.,</w:t>
        </w:r>
        <w:r>
          <w:rPr>
            <w:rFonts w:ascii="Times New Roman" w:hAnsi="Times New Roman" w:cs="Times New Roman"/>
            <w:color w:val="000000"/>
            <w:sz w:val="20"/>
            <w:szCs w:val="20"/>
          </w:rPr>
          <w:t xml:space="preserve"> 968 F.Supp. 1116, 1132 (W.D.La.1997)</w:t>
        </w:r>
      </w:hyperlink>
      <w:r>
        <w:rPr>
          <w:rFonts w:ascii="Times New Roman" w:hAnsi="Times New Roman" w:cs="Times New Roman"/>
          <w:color w:val="000000"/>
          <w:sz w:val="20"/>
          <w:szCs w:val="20"/>
        </w:rPr>
        <w:t xml:space="preserve"> (summarizing the various methods used to calculate attorneys’ fees); </w:t>
      </w:r>
      <w:r>
        <w:rPr>
          <w:rFonts w:ascii="Times New Roman" w:hAnsi="Times New Roman" w:cs="Times New Roman"/>
          <w:i/>
          <w:iCs/>
          <w:color w:val="000000"/>
          <w:sz w:val="20"/>
          <w:szCs w:val="20"/>
        </w:rPr>
        <w:t xml:space="preserve">see </w:t>
      </w:r>
      <w:hyperlink r:id="rId103" w:history="1">
        <w:r>
          <w:rPr>
            <w:rFonts w:ascii="Times New Roman" w:hAnsi="Times New Roman" w:cs="Times New Roman"/>
            <w:i/>
            <w:iCs/>
            <w:color w:val="000000"/>
            <w:sz w:val="20"/>
            <w:szCs w:val="20"/>
          </w:rPr>
          <w:t xml:space="preserve">In </w:t>
        </w:r>
        <w:r>
          <w:rPr>
            <w:rFonts w:ascii="Times New Roman" w:hAnsi="Times New Roman" w:cs="Times New Roman"/>
            <w:i/>
            <w:iCs/>
            <w:color w:val="000000"/>
            <w:sz w:val="20"/>
            <w:szCs w:val="20"/>
          </w:rPr>
          <w:lastRenderedPageBreak/>
          <w:t>re Cabletron,</w:t>
        </w:r>
        <w:r>
          <w:rPr>
            <w:rFonts w:ascii="Times New Roman" w:hAnsi="Times New Roman" w:cs="Times New Roman"/>
            <w:color w:val="000000"/>
            <w:sz w:val="20"/>
            <w:szCs w:val="20"/>
          </w:rPr>
          <w:t xml:space="preserve"> 239 F.R.D. at 37</w:t>
        </w:r>
      </w:hyperlink>
      <w:r>
        <w:rPr>
          <w:rFonts w:ascii="Times New Roman" w:hAnsi="Times New Roman" w:cs="Times New Roman"/>
          <w:color w:val="000000"/>
          <w:sz w:val="20"/>
          <w:szCs w:val="20"/>
        </w:rPr>
        <w:t xml:space="preserve"> (stating that the percentage method </w:t>
      </w:r>
      <w:r>
        <w:rPr>
          <w:rFonts w:ascii="Times New Roman" w:hAnsi="Times New Roman" w:cs="Times New Roman"/>
          <w:color w:val="000000"/>
          <w:sz w:val="20"/>
          <w:szCs w:val="20"/>
        </w:rPr>
        <w:t>“</w:t>
      </w:r>
      <w:r>
        <w:rPr>
          <w:rFonts w:ascii="Times New Roman" w:hAnsi="Times New Roman" w:cs="Times New Roman"/>
          <w:color w:val="000000"/>
          <w:sz w:val="20"/>
          <w:szCs w:val="20"/>
        </w:rPr>
        <w:t>allows courts to award fees from the fund in a manner that rewards counse</w:t>
      </w:r>
      <w:r>
        <w:rPr>
          <w:rFonts w:ascii="Times New Roman" w:hAnsi="Times New Roman" w:cs="Times New Roman"/>
          <w:color w:val="000000"/>
          <w:sz w:val="20"/>
          <w:szCs w:val="20"/>
        </w:rPr>
        <w:t>l for success and penalizes it for failure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(quotation omitted);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Samuel R. Berger, </w:t>
      </w:r>
      <w:r>
        <w:rPr>
          <w:rFonts w:ascii="Times New Roman" w:hAnsi="Times New Roman" w:cs="Times New Roman"/>
          <w:i/>
          <w:iCs/>
          <w:color w:val="000000"/>
          <w:sz w:val="20"/>
          <w:szCs w:val="20"/>
        </w:rPr>
        <w:t xml:space="preserve">Court Awarded Attorneys’ Fees: What is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Reasonable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w:t>
      </w:r>
      <w:r>
        <w:rPr>
          <w:rFonts w:ascii="Times New Roman" w:hAnsi="Times New Roman" w:cs="Times New Roman"/>
          <w:color w:val="000000"/>
          <w:sz w:val="20"/>
          <w:szCs w:val="20"/>
        </w:rPr>
        <w:t xml:space="preserve"> 126U. Pa. L. Rev. 281 (1977). Moreover, courts find that the percentage method provides more predictability t</w:t>
      </w:r>
      <w:r>
        <w:rPr>
          <w:rFonts w:ascii="Times New Roman" w:hAnsi="Times New Roman" w:cs="Times New Roman"/>
          <w:color w:val="000000"/>
          <w:sz w:val="20"/>
          <w:szCs w:val="20"/>
        </w:rPr>
        <w:t xml:space="preserve">o attorneys and class members or plaintiffs, encourages settlement, and avoids protracted litigation for the sake of racking up hours, thereby reducing the time consumed by the court and the attorneys.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Walker &amp; Horwich,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at 1456</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57 (citing </w:t>
      </w:r>
      <w:hyperlink r:id="rId104" w:history="1">
        <w:r>
          <w:rPr>
            <w:rFonts w:ascii="Times New Roman" w:hAnsi="Times New Roman" w:cs="Times New Roman"/>
            <w:i/>
            <w:iCs/>
            <w:color w:val="000000"/>
            <w:sz w:val="20"/>
            <w:szCs w:val="20"/>
          </w:rPr>
          <w:t>In re Activision Sec. Litig.,</w:t>
        </w:r>
        <w:r>
          <w:rPr>
            <w:rFonts w:ascii="Times New Roman" w:hAnsi="Times New Roman" w:cs="Times New Roman"/>
            <w:color w:val="000000"/>
            <w:sz w:val="20"/>
            <w:szCs w:val="20"/>
          </w:rPr>
          <w:t xml:space="preserve"> 723 F.Supp. 1373, 1378 (N.D.Cal.1989)</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accord </w:t>
      </w:r>
      <w:hyperlink r:id="rId105" w:history="1">
        <w:r>
          <w:rPr>
            <w:rFonts w:ascii="Times New Roman" w:hAnsi="Times New Roman" w:cs="Times New Roman"/>
            <w:i/>
            <w:iCs/>
            <w:color w:val="000000"/>
            <w:sz w:val="20"/>
            <w:szCs w:val="20"/>
          </w:rPr>
          <w:t>In re Diet Drugs,</w:t>
        </w:r>
        <w:r>
          <w:rPr>
            <w:rFonts w:ascii="Times New Roman" w:hAnsi="Times New Roman" w:cs="Times New Roman"/>
            <w:color w:val="000000"/>
            <w:sz w:val="20"/>
            <w:szCs w:val="20"/>
          </w:rPr>
          <w:t xml:space="preserve"> 582 F.3d at 540</w:t>
        </w:r>
      </w:hyperlink>
      <w:r>
        <w:rPr>
          <w:rFonts w:ascii="Times New Roman" w:hAnsi="Times New Roman" w:cs="Times New Roman"/>
          <w:color w:val="000000"/>
          <w:sz w:val="20"/>
          <w:szCs w:val="20"/>
        </w:rPr>
        <w: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While the United States Supreme Court has approved the percentage </w:t>
      </w:r>
      <w:r>
        <w:rPr>
          <w:rFonts w:ascii="Times New Roman" w:hAnsi="Times New Roman" w:cs="Times New Roman"/>
          <w:color w:val="000000"/>
          <w:sz w:val="20"/>
          <w:szCs w:val="20"/>
        </w:rPr>
        <w:t xml:space="preserve">method in common fund cases, it has never formally adopted the lodestar method in common fund cases. </w:t>
      </w:r>
      <w:r>
        <w:rPr>
          <w:rFonts w:ascii="Times New Roman" w:hAnsi="Times New Roman" w:cs="Times New Roman"/>
          <w:i/>
          <w:iCs/>
          <w:color w:val="000000"/>
          <w:sz w:val="20"/>
          <w:szCs w:val="20"/>
        </w:rPr>
        <w:t xml:space="preserve">See </w:t>
      </w:r>
      <w:hyperlink r:id="rId106" w:history="1">
        <w:r>
          <w:rPr>
            <w:rFonts w:ascii="Times New Roman" w:hAnsi="Times New Roman" w:cs="Times New Roman"/>
            <w:i/>
            <w:iCs/>
            <w:color w:val="000000"/>
            <w:sz w:val="20"/>
            <w:szCs w:val="20"/>
          </w:rPr>
          <w:t>Camden I Condo. Ass’n v. Dunkle,</w:t>
        </w:r>
        <w:r>
          <w:rPr>
            <w:rFonts w:ascii="Times New Roman" w:hAnsi="Times New Roman" w:cs="Times New Roman"/>
            <w:color w:val="000000"/>
            <w:sz w:val="20"/>
            <w:szCs w:val="20"/>
          </w:rPr>
          <w:t xml:space="preserve"> 946 F.2d 768, 773</w:t>
        </w:r>
        <w:r>
          <w:rPr>
            <w:rFonts w:ascii="Times New Roman" w:hAnsi="Times New Roman" w:cs="Times New Roman"/>
            <w:color w:val="000000"/>
            <w:sz w:val="20"/>
            <w:szCs w:val="20"/>
          </w:rPr>
          <w:t>–</w:t>
        </w:r>
        <w:r>
          <w:rPr>
            <w:rFonts w:ascii="Times New Roman" w:hAnsi="Times New Roman" w:cs="Times New Roman"/>
            <w:color w:val="000000"/>
            <w:sz w:val="20"/>
            <w:szCs w:val="20"/>
          </w:rPr>
          <w:t>74 (11th Cir.1991)</w:t>
        </w:r>
      </w:hyperlink>
      <w:r>
        <w:rPr>
          <w:rFonts w:ascii="Times New Roman" w:hAnsi="Times New Roman" w:cs="Times New Roman"/>
          <w:color w:val="000000"/>
          <w:sz w:val="20"/>
          <w:szCs w:val="20"/>
        </w:rPr>
        <w:t xml:space="preserve"> (reading </w:t>
      </w:r>
      <w:hyperlink r:id="rId107" w:history="1">
        <w:r>
          <w:rPr>
            <w:rFonts w:ascii="Times New Roman" w:hAnsi="Times New Roman" w:cs="Times New Roman"/>
            <w:i/>
            <w:iCs/>
            <w:color w:val="000000"/>
            <w:sz w:val="20"/>
            <w:szCs w:val="20"/>
          </w:rPr>
          <w:t>Blum v. Stenson,</w:t>
        </w:r>
        <w:r>
          <w:rPr>
            <w:rFonts w:ascii="Times New Roman" w:hAnsi="Times New Roman" w:cs="Times New Roman"/>
            <w:color w:val="000000"/>
            <w:sz w:val="20"/>
            <w:szCs w:val="20"/>
          </w:rPr>
          <w:t xml:space="preserve"> 465 U.S. 886, 9</w:t>
        </w:r>
        <w:r>
          <w:rPr>
            <w:rFonts w:ascii="Times New Roman" w:hAnsi="Times New Roman" w:cs="Times New Roman"/>
            <w:color w:val="000000"/>
            <w:sz w:val="20"/>
            <w:szCs w:val="20"/>
          </w:rPr>
          <w:t>00 n. 16, 104 S.Ct. 1541, 79 L.Ed.2d 891 (1984)</w:t>
        </w:r>
      </w:hyperlink>
      <w:r>
        <w:rPr>
          <w:rFonts w:ascii="Times New Roman" w:hAnsi="Times New Roman" w:cs="Times New Roman"/>
          <w:color w:val="000000"/>
          <w:sz w:val="20"/>
          <w:szCs w:val="20"/>
        </w:rPr>
        <w:t xml:space="preserve">, as the Supreme Court’s </w:t>
      </w:r>
      <w:r>
        <w:rPr>
          <w:rFonts w:ascii="Times New Roman" w:hAnsi="Times New Roman" w:cs="Times New Roman"/>
          <w:color w:val="000000"/>
          <w:sz w:val="20"/>
          <w:szCs w:val="20"/>
        </w:rPr>
        <w:t>“</w:t>
      </w:r>
      <w:r>
        <w:rPr>
          <w:rFonts w:ascii="Times New Roman" w:hAnsi="Times New Roman" w:cs="Times New Roman"/>
          <w:color w:val="000000"/>
          <w:sz w:val="20"/>
          <w:szCs w:val="20"/>
        </w:rPr>
        <w:t>acknowledgment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the percentage method in common fund cases); </w:t>
      </w:r>
      <w:hyperlink r:id="rId108" w:history="1">
        <w:r>
          <w:rPr>
            <w:rFonts w:ascii="Times New Roman" w:hAnsi="Times New Roman" w:cs="Times New Roman"/>
            <w:i/>
            <w:iCs/>
            <w:color w:val="000000"/>
            <w:sz w:val="20"/>
            <w:szCs w:val="20"/>
          </w:rPr>
          <w:t>In re Prudential</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Bache Energy Income P’ships Sec. Litig.,</w:t>
        </w:r>
        <w:r>
          <w:rPr>
            <w:rFonts w:ascii="Times New Roman" w:hAnsi="Times New Roman" w:cs="Times New Roman"/>
            <w:color w:val="000000"/>
            <w:sz w:val="20"/>
            <w:szCs w:val="20"/>
          </w:rPr>
          <w:t xml:space="preserve"> MDL No. 888, 1994 WL 150742, (E.D.La. Apr. 13, 1994)</w:t>
        </w:r>
      </w:hyperlink>
      <w:r>
        <w:rPr>
          <w:rFonts w:ascii="Times New Roman" w:hAnsi="Times New Roman" w:cs="Times New Roman"/>
          <w:color w:val="000000"/>
          <w:sz w:val="20"/>
          <w:szCs w:val="20"/>
        </w:rPr>
        <w:t xml:space="preserve"> (t</w:t>
      </w:r>
      <w:r>
        <w:rPr>
          <w:rFonts w:ascii="Times New Roman" w:hAnsi="Times New Roman" w:cs="Times New Roman"/>
          <w:color w:val="000000"/>
          <w:sz w:val="20"/>
          <w:szCs w:val="20"/>
        </w:rPr>
        <w:t xml:space="preserve">racing the history of the various methods). Conversely, the Fifth Circuit appears to be the only Court of Appeals that has not explicitly endorsed the percentage method. </w:t>
      </w:r>
      <w:hyperlink r:id="rId109" w:history="1">
        <w:r>
          <w:rPr>
            <w:rFonts w:ascii="Times New Roman" w:hAnsi="Times New Roman" w:cs="Times New Roman"/>
            <w:color w:val="000000"/>
            <w:sz w:val="20"/>
            <w:szCs w:val="20"/>
          </w:rPr>
          <w:t xml:space="preserve">Manual for Complex Litigation (Fourth)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14.121 (2004)</w:t>
        </w:r>
      </w:hyperlink>
      <w:r>
        <w:rPr>
          <w:rFonts w:ascii="Times New Roman" w:hAnsi="Times New Roman" w:cs="Times New Roman"/>
          <w:color w:val="000000"/>
          <w:sz w:val="20"/>
          <w:szCs w:val="20"/>
        </w:rPr>
        <w:t>. However, neither has th</w:t>
      </w:r>
      <w:r>
        <w:rPr>
          <w:rFonts w:ascii="Times New Roman" w:hAnsi="Times New Roman" w:cs="Times New Roman"/>
          <w:color w:val="000000"/>
          <w:sz w:val="20"/>
          <w:szCs w:val="20"/>
        </w:rPr>
        <w:t xml:space="preserve">e Fifth Circuit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explicitly </w:t>
      </w:r>
      <w:r>
        <w:rPr>
          <w:rFonts w:ascii="Times New Roman" w:hAnsi="Times New Roman" w:cs="Times New Roman"/>
          <w:i/>
          <w:iCs/>
          <w:color w:val="000000"/>
          <w:sz w:val="20"/>
          <w:szCs w:val="20"/>
        </w:rPr>
        <w:t>disapproved</w:t>
      </w:r>
      <w:r>
        <w:rPr>
          <w:rFonts w:ascii="Times New Roman" w:hAnsi="Times New Roman" w:cs="Times New Roman"/>
          <w:color w:val="000000"/>
          <w:sz w:val="20"/>
          <w:szCs w:val="20"/>
        </w:rPr>
        <w:t xml:space="preserve"> of the percentage method of calculating fees in common fund cases.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10" w:history="1">
        <w:r>
          <w:rPr>
            <w:rFonts w:ascii="Times New Roman" w:hAnsi="Times New Roman" w:cs="Times New Roman"/>
            <w:i/>
            <w:iCs/>
            <w:color w:val="000000"/>
            <w:sz w:val="20"/>
            <w:szCs w:val="20"/>
          </w:rPr>
          <w:t>In re OCA, Inc. Sec. &amp; Derivative Litig.,</w:t>
        </w:r>
        <w:r>
          <w:rPr>
            <w:rFonts w:ascii="Times New Roman" w:hAnsi="Times New Roman" w:cs="Times New Roman"/>
            <w:color w:val="000000"/>
            <w:sz w:val="20"/>
            <w:szCs w:val="20"/>
          </w:rPr>
          <w:t xml:space="preserve"> No. 05</w:t>
        </w:r>
        <w:r>
          <w:rPr>
            <w:rFonts w:ascii="Times New Roman" w:hAnsi="Times New Roman" w:cs="Times New Roman"/>
            <w:color w:val="000000"/>
            <w:sz w:val="20"/>
            <w:szCs w:val="20"/>
          </w:rPr>
          <w:t>–</w:t>
        </w:r>
        <w:r>
          <w:rPr>
            <w:rFonts w:ascii="Times New Roman" w:hAnsi="Times New Roman" w:cs="Times New Roman"/>
            <w:color w:val="000000"/>
            <w:sz w:val="20"/>
            <w:szCs w:val="20"/>
          </w:rPr>
          <w:t>2165, 2009 WL 512081, at *18 (E.D.La. Mar. 2, 2009)</w:t>
        </w:r>
      </w:hyperlink>
      <w:r>
        <w:rPr>
          <w:rFonts w:ascii="Times New Roman" w:hAnsi="Times New Roman" w:cs="Times New Roman"/>
          <w:color w:val="000000"/>
          <w:sz w:val="20"/>
          <w:szCs w:val="20"/>
        </w:rPr>
        <w:t xml:space="preserve"> (emphasis added). Therefore, the Fifth C</w:t>
      </w:r>
      <w:r>
        <w:rPr>
          <w:rFonts w:ascii="Times New Roman" w:hAnsi="Times New Roman" w:cs="Times New Roman"/>
          <w:color w:val="000000"/>
          <w:sz w:val="20"/>
          <w:szCs w:val="20"/>
        </w:rPr>
        <w:t xml:space="preserve">ircuit appears to tolerate the percentage method, so long as the </w:t>
      </w:r>
      <w:hyperlink r:id="rId111"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framework is utilized to ensure that the fee awarded is reasonable. </w:t>
      </w:r>
      <w:r>
        <w:rPr>
          <w:rFonts w:ascii="Times New Roman" w:hAnsi="Times New Roman" w:cs="Times New Roman"/>
          <w:i/>
          <w:iCs/>
          <w:color w:val="000000"/>
          <w:sz w:val="20"/>
          <w:szCs w:val="20"/>
        </w:rPr>
        <w:t xml:space="preserve">See </w:t>
      </w:r>
      <w:hyperlink r:id="rId112"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w:t>
        </w:r>
      </w:hyperlink>
      <w:r>
        <w:rPr>
          <w:rFonts w:ascii="Times New Roman" w:hAnsi="Times New Roman" w:cs="Times New Roman"/>
          <w:color w:val="000000"/>
          <w:sz w:val="20"/>
          <w:szCs w:val="20"/>
        </w:rPr>
        <w:t xml:space="preserve"> </w:t>
      </w:r>
      <w:hyperlink r:id="rId113" w:history="1">
        <w:r>
          <w:rPr>
            <w:rFonts w:ascii="Times New Roman" w:hAnsi="Times New Roman" w:cs="Times New Roman"/>
            <w:i/>
            <w:iCs/>
            <w:color w:val="000000"/>
            <w:sz w:val="20"/>
            <w:szCs w:val="20"/>
          </w:rPr>
          <w:t>Strong v. BellSouth Telecomms., Inc.,</w:t>
        </w:r>
        <w:r>
          <w:rPr>
            <w:rFonts w:ascii="Times New Roman" w:hAnsi="Times New Roman" w:cs="Times New Roman"/>
            <w:color w:val="000000"/>
            <w:sz w:val="20"/>
            <w:szCs w:val="20"/>
          </w:rPr>
          <w:t xml:space="preserve"> 137 F.3d 844, 851</w:t>
        </w:r>
        <w:r>
          <w:rPr>
            <w:rFonts w:ascii="Times New Roman" w:hAnsi="Times New Roman" w:cs="Times New Roman"/>
            <w:color w:val="000000"/>
            <w:sz w:val="20"/>
            <w:szCs w:val="20"/>
          </w:rPr>
          <w:t>–</w:t>
        </w:r>
        <w:r>
          <w:rPr>
            <w:rFonts w:ascii="Times New Roman" w:hAnsi="Times New Roman" w:cs="Times New Roman"/>
            <w:color w:val="000000"/>
            <w:sz w:val="20"/>
            <w:szCs w:val="20"/>
          </w:rPr>
          <w:t>52 &amp; n. 5 (5th Cir.1998)</w:t>
        </w:r>
      </w:hyperlink>
      <w:r>
        <w:rPr>
          <w:rFonts w:ascii="Times New Roman" w:hAnsi="Times New Roman" w:cs="Times New Roman"/>
          <w:color w:val="000000"/>
          <w:sz w:val="20"/>
          <w:szCs w:val="20"/>
        </w:rPr>
        <w:t xml:space="preserve">; </w:t>
      </w:r>
      <w:hyperlink r:id="rId114" w:history="1">
        <w:r>
          <w:rPr>
            <w:rFonts w:ascii="Times New Roman" w:hAnsi="Times New Roman" w:cs="Times New Roman"/>
            <w:i/>
            <w:iCs/>
            <w:color w:val="000000"/>
            <w:sz w:val="20"/>
            <w:szCs w:val="20"/>
          </w:rPr>
          <w:t>Forbush v. J.C Penney Co.,</w:t>
        </w:r>
        <w:r>
          <w:rPr>
            <w:rFonts w:ascii="Times New Roman" w:hAnsi="Times New Roman" w:cs="Times New Roman"/>
            <w:color w:val="000000"/>
            <w:sz w:val="20"/>
            <w:szCs w:val="20"/>
          </w:rPr>
          <w:t xml:space="preserve"> 98 F.3d 817, 823</w:t>
        </w:r>
        <w:r>
          <w:rPr>
            <w:rFonts w:ascii="Times New Roman" w:hAnsi="Times New Roman" w:cs="Times New Roman"/>
            <w:color w:val="000000"/>
            <w:sz w:val="20"/>
            <w:szCs w:val="20"/>
          </w:rPr>
          <w:t>–</w:t>
        </w:r>
        <w:r>
          <w:rPr>
            <w:rFonts w:ascii="Times New Roman" w:hAnsi="Times New Roman" w:cs="Times New Roman"/>
            <w:color w:val="000000"/>
            <w:sz w:val="20"/>
            <w:szCs w:val="20"/>
          </w:rPr>
          <w:t>25 (5th Cir.1996)</w:t>
        </w:r>
      </w:hyperlink>
      <w:r>
        <w:rPr>
          <w:rFonts w:ascii="Times New Roman" w:hAnsi="Times New Roman" w:cs="Times New Roman"/>
          <w:color w:val="000000"/>
          <w:sz w:val="20"/>
          <w:szCs w:val="20"/>
        </w:rPr>
        <w: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Accordingly, numerous district courts in this Circuit have applied a </w:t>
      </w:r>
      <w:r>
        <w:rPr>
          <w:rFonts w:ascii="Times New Roman" w:hAnsi="Times New Roman" w:cs="Times New Roman"/>
          <w:color w:val="000000"/>
          <w:sz w:val="20"/>
          <w:szCs w:val="20"/>
        </w:rPr>
        <w:t>“</w:t>
      </w:r>
      <w:r>
        <w:rPr>
          <w:rFonts w:ascii="Times New Roman" w:hAnsi="Times New Roman" w:cs="Times New Roman"/>
          <w:color w:val="000000"/>
          <w:sz w:val="20"/>
          <w:szCs w:val="20"/>
        </w:rPr>
        <w:t>blended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percentage method to determine a reasonable fee award, while staying wit</w:t>
      </w:r>
      <w:r>
        <w:rPr>
          <w:rFonts w:ascii="Times New Roman" w:hAnsi="Times New Roman" w:cs="Times New Roman"/>
          <w:color w:val="000000"/>
          <w:sz w:val="20"/>
          <w:szCs w:val="20"/>
        </w:rPr>
        <w:t xml:space="preserve">hin the </w:t>
      </w:r>
      <w:hyperlink r:id="rId115" w:history="1">
        <w:r>
          <w:rPr>
            <w:rFonts w:ascii="Times New Roman" w:hAnsi="Times New Roman" w:cs="Times New Roman"/>
            <w:i/>
            <w:iCs/>
            <w:color w:val="000000"/>
            <w:sz w:val="20"/>
            <w:szCs w:val="20"/>
          </w:rPr>
          <w:t>Joh</w:t>
        </w:r>
        <w:r>
          <w:rPr>
            <w:rFonts w:ascii="Times New Roman" w:hAnsi="Times New Roman" w:cs="Times New Roman"/>
            <w:i/>
            <w:iCs/>
            <w:color w:val="000000"/>
            <w:sz w:val="20"/>
            <w:szCs w:val="20"/>
          </w:rPr>
          <w:t>nson</w:t>
        </w:r>
      </w:hyperlink>
      <w:r>
        <w:rPr>
          <w:rFonts w:ascii="Times New Roman" w:hAnsi="Times New Roman" w:cs="Times New Roman"/>
          <w:color w:val="000000"/>
          <w:sz w:val="20"/>
          <w:szCs w:val="20"/>
        </w:rPr>
        <w:t xml:space="preserve"> framework. </w:t>
      </w:r>
      <w:r>
        <w:rPr>
          <w:rFonts w:ascii="Times New Roman" w:hAnsi="Times New Roman" w:cs="Times New Roman"/>
          <w:i/>
          <w:iCs/>
          <w:color w:val="000000"/>
          <w:sz w:val="20"/>
          <w:szCs w:val="20"/>
        </w:rPr>
        <w:t xml:space="preserve">See, e.g., </w:t>
      </w:r>
      <w:hyperlink r:id="rId116" w:history="1">
        <w:r>
          <w:rPr>
            <w:rFonts w:ascii="Times New Roman" w:hAnsi="Times New Roman" w:cs="Times New Roman"/>
            <w:i/>
            <w:iCs/>
            <w:color w:val="000000"/>
            <w:sz w:val="20"/>
            <w:szCs w:val="20"/>
          </w:rPr>
          <w:t>In re OCA,</w:t>
        </w:r>
        <w:r>
          <w:rPr>
            <w:rFonts w:ascii="Times New Roman" w:hAnsi="Times New Roman" w:cs="Times New Roman"/>
            <w:color w:val="000000"/>
            <w:sz w:val="20"/>
            <w:szCs w:val="20"/>
          </w:rPr>
          <w:t xml:space="preserve"> 2009 WL 512081, at *19;</w:t>
        </w:r>
      </w:hyperlink>
      <w:r>
        <w:rPr>
          <w:rFonts w:ascii="Times New Roman" w:hAnsi="Times New Roman" w:cs="Times New Roman"/>
          <w:color w:val="000000"/>
          <w:sz w:val="20"/>
          <w:szCs w:val="20"/>
        </w:rPr>
        <w:t xml:space="preserve"> </w:t>
      </w:r>
      <w:hyperlink r:id="rId117" w:history="1">
        <w:r>
          <w:rPr>
            <w:rFonts w:ascii="Times New Roman" w:hAnsi="Times New Roman" w:cs="Times New Roman"/>
            <w:i/>
            <w:iCs/>
            <w:color w:val="000000"/>
            <w:sz w:val="20"/>
            <w:szCs w:val="20"/>
          </w:rPr>
          <w:t>In re Enron Corp. Sec., Derivative &amp; ERISA Litig.,</w:t>
        </w:r>
        <w:r>
          <w:rPr>
            <w:rFonts w:ascii="Times New Roman" w:hAnsi="Times New Roman" w:cs="Times New Roman"/>
            <w:color w:val="000000"/>
            <w:sz w:val="20"/>
            <w:szCs w:val="20"/>
          </w:rPr>
          <w:t xml:space="preserve"> 586 F.Supp.2d 732, 766, 778 (S.D.Tex.2008)</w:t>
        </w:r>
      </w:hyperlink>
      <w:r>
        <w:rPr>
          <w:rFonts w:ascii="Times New Roman" w:hAnsi="Times New Roman" w:cs="Times New Roman"/>
          <w:color w:val="000000"/>
          <w:sz w:val="20"/>
          <w:szCs w:val="20"/>
        </w:rPr>
        <w:t xml:space="preserve">; </w:t>
      </w:r>
      <w:hyperlink r:id="rId118" w:history="1">
        <w:r>
          <w:rPr>
            <w:rFonts w:ascii="Times New Roman" w:hAnsi="Times New Roman" w:cs="Times New Roman"/>
            <w:i/>
            <w:iCs/>
            <w:color w:val="000000"/>
            <w:sz w:val="20"/>
            <w:szCs w:val="20"/>
          </w:rPr>
          <w:t xml:space="preserve">Turner v. </w:t>
        </w:r>
        <w:r>
          <w:rPr>
            <w:rFonts w:ascii="Times New Roman" w:hAnsi="Times New Roman" w:cs="Times New Roman"/>
            <w:i/>
            <w:iCs/>
            <w:color w:val="000000"/>
            <w:sz w:val="20"/>
            <w:szCs w:val="20"/>
          </w:rPr>
          <w:t>Murphy Oil USA, Inc.,</w:t>
        </w:r>
        <w:r>
          <w:rPr>
            <w:rFonts w:ascii="Times New Roman" w:hAnsi="Times New Roman" w:cs="Times New Roman"/>
            <w:color w:val="000000"/>
            <w:sz w:val="20"/>
            <w:szCs w:val="20"/>
          </w:rPr>
          <w:t xml:space="preserve"> 472 F.Supp.2d 830, 859</w:t>
        </w:r>
        <w:r>
          <w:rPr>
            <w:rFonts w:ascii="Times New Roman" w:hAnsi="Times New Roman" w:cs="Times New Roman"/>
            <w:color w:val="000000"/>
            <w:sz w:val="20"/>
            <w:szCs w:val="20"/>
          </w:rPr>
          <w:t>–</w:t>
        </w:r>
        <w:r>
          <w:rPr>
            <w:rFonts w:ascii="Times New Roman" w:hAnsi="Times New Roman" w:cs="Times New Roman"/>
            <w:color w:val="000000"/>
            <w:sz w:val="20"/>
            <w:szCs w:val="20"/>
          </w:rPr>
          <w:t>61 (E.D.La.2007)</w:t>
        </w:r>
      </w:hyperlink>
      <w:r>
        <w:rPr>
          <w:rFonts w:ascii="Times New Roman" w:hAnsi="Times New Roman" w:cs="Times New Roman"/>
          <w:color w:val="000000"/>
          <w:sz w:val="20"/>
          <w:szCs w:val="20"/>
        </w:rPr>
        <w:t xml:space="preserve">; </w:t>
      </w:r>
      <w:hyperlink r:id="rId119" w:history="1">
        <w:r>
          <w:rPr>
            <w:rFonts w:ascii="Times New Roman" w:hAnsi="Times New Roman" w:cs="Times New Roman"/>
            <w:i/>
            <w:iCs/>
            <w:color w:val="000000"/>
            <w:sz w:val="20"/>
            <w:szCs w:val="20"/>
          </w:rPr>
          <w:t>In re Bayou Sorrel Class Action,</w:t>
        </w:r>
        <w:r>
          <w:rPr>
            <w:rFonts w:ascii="Times New Roman" w:hAnsi="Times New Roman" w:cs="Times New Roman"/>
            <w:color w:val="000000"/>
            <w:sz w:val="20"/>
            <w:szCs w:val="20"/>
          </w:rPr>
          <w:t xml:space="preserve"> No. 04</w:t>
        </w:r>
        <w:r>
          <w:rPr>
            <w:rFonts w:ascii="Times New Roman" w:hAnsi="Times New Roman" w:cs="Times New Roman"/>
            <w:color w:val="000000"/>
            <w:sz w:val="20"/>
            <w:szCs w:val="20"/>
          </w:rPr>
          <w:t>–</w:t>
        </w:r>
        <w:r>
          <w:rPr>
            <w:rFonts w:ascii="Times New Roman" w:hAnsi="Times New Roman" w:cs="Times New Roman"/>
            <w:color w:val="000000"/>
            <w:sz w:val="20"/>
            <w:szCs w:val="20"/>
          </w:rPr>
          <w:t>1101, 2006 WL 3230771, at *3 (W.D.La. Oct. 31, 2006)</w:t>
        </w:r>
      </w:hyperlink>
      <w:r>
        <w:rPr>
          <w:rFonts w:ascii="Times New Roman" w:hAnsi="Times New Roman" w:cs="Times New Roman"/>
          <w:color w:val="000000"/>
          <w:sz w:val="20"/>
          <w:szCs w:val="20"/>
        </w:rPr>
        <w:t xml:space="preserve">; </w:t>
      </w:r>
      <w:hyperlink r:id="rId120" w:history="1">
        <w:r>
          <w:rPr>
            <w:rFonts w:ascii="Times New Roman" w:hAnsi="Times New Roman" w:cs="Times New Roman"/>
            <w:i/>
            <w:iCs/>
            <w:color w:val="000000"/>
            <w:sz w:val="20"/>
            <w:szCs w:val="20"/>
          </w:rPr>
          <w:t xml:space="preserve">In re Educ. Testing Serv. Praxis Principles of </w:t>
        </w:r>
        <w:r>
          <w:rPr>
            <w:rFonts w:ascii="Times New Roman" w:hAnsi="Times New Roman" w:cs="Times New Roman"/>
            <w:i/>
            <w:iCs/>
            <w:color w:val="000000"/>
            <w:sz w:val="20"/>
            <w:szCs w:val="20"/>
          </w:rPr>
          <w:t>Learni</w:t>
        </w:r>
        <w:r>
          <w:rPr>
            <w:rFonts w:ascii="Times New Roman" w:hAnsi="Times New Roman" w:cs="Times New Roman"/>
            <w:i/>
            <w:iCs/>
            <w:color w:val="000000"/>
            <w:sz w:val="20"/>
            <w:szCs w:val="20"/>
          </w:rPr>
          <w:t>ng &amp; Teaching: Grades 7</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12 Litig.,</w:t>
        </w:r>
        <w:r>
          <w:rPr>
            <w:rFonts w:ascii="Times New Roman" w:hAnsi="Times New Roman" w:cs="Times New Roman"/>
            <w:color w:val="000000"/>
            <w:sz w:val="20"/>
            <w:szCs w:val="20"/>
          </w:rPr>
          <w:t xml:space="preserve"> 447 F.Supp.2d 612, 628</w:t>
        </w:r>
        <w:r>
          <w:rPr>
            <w:rFonts w:ascii="Times New Roman" w:hAnsi="Times New Roman" w:cs="Times New Roman"/>
            <w:color w:val="000000"/>
            <w:sz w:val="20"/>
            <w:szCs w:val="20"/>
          </w:rPr>
          <w:t>–</w:t>
        </w:r>
        <w:r>
          <w:rPr>
            <w:rFonts w:ascii="Times New Roman" w:hAnsi="Times New Roman" w:cs="Times New Roman"/>
            <w:color w:val="000000"/>
            <w:sz w:val="20"/>
            <w:szCs w:val="20"/>
          </w:rPr>
          <w:t>29 (E.D.La.2006)</w:t>
        </w:r>
      </w:hyperlink>
      <w:r>
        <w:rPr>
          <w:rFonts w:ascii="Times New Roman" w:hAnsi="Times New Roman" w:cs="Times New Roman"/>
          <w:color w:val="000000"/>
          <w:sz w:val="20"/>
          <w:szCs w:val="20"/>
        </w:rPr>
        <w:t xml:space="preserve">; </w:t>
      </w:r>
      <w:hyperlink r:id="rId121" w:history="1">
        <w:r>
          <w:rPr>
            <w:rFonts w:ascii="Times New Roman" w:hAnsi="Times New Roman" w:cs="Times New Roman"/>
            <w:i/>
            <w:iCs/>
            <w:color w:val="000000"/>
            <w:sz w:val="20"/>
            <w:szCs w:val="20"/>
          </w:rPr>
          <w:t>Batchelder v. Kerr</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McGee Corp.,</w:t>
        </w:r>
        <w:r>
          <w:rPr>
            <w:rFonts w:ascii="Times New Roman" w:hAnsi="Times New Roman" w:cs="Times New Roman"/>
            <w:color w:val="000000"/>
            <w:sz w:val="20"/>
            <w:szCs w:val="20"/>
          </w:rPr>
          <w:t xml:space="preserve"> 246 F.Supp.2d 525, 531 (N.D.Miss.2003)</w:t>
        </w:r>
      </w:hyperlink>
      <w:r>
        <w:rPr>
          <w:rFonts w:ascii="Times New Roman" w:hAnsi="Times New Roman" w:cs="Times New Roman"/>
          <w:color w:val="000000"/>
          <w:sz w:val="20"/>
          <w:szCs w:val="20"/>
        </w:rPr>
        <w:t xml:space="preserve">; </w:t>
      </w:r>
      <w:hyperlink r:id="rId122" w:history="1">
        <w:r>
          <w:rPr>
            <w:rFonts w:ascii="Times New Roman" w:hAnsi="Times New Roman" w:cs="Times New Roman"/>
            <w:i/>
            <w:iCs/>
            <w:color w:val="000000"/>
            <w:sz w:val="20"/>
            <w:szCs w:val="20"/>
          </w:rPr>
          <w:t>In re Combustion, Inc.,</w:t>
        </w:r>
        <w:r>
          <w:rPr>
            <w:rFonts w:ascii="Times New Roman" w:hAnsi="Times New Roman" w:cs="Times New Roman"/>
            <w:color w:val="000000"/>
            <w:sz w:val="20"/>
            <w:szCs w:val="20"/>
          </w:rPr>
          <w:t xml:space="preserve"> 968 F.Supp. at 1135</w:t>
        </w:r>
        <w:r>
          <w:rPr>
            <w:rFonts w:ascii="Times New Roman" w:hAnsi="Times New Roman" w:cs="Times New Roman"/>
            <w:color w:val="000000"/>
            <w:sz w:val="20"/>
            <w:szCs w:val="20"/>
          </w:rPr>
          <w:t>–</w:t>
        </w:r>
        <w:r>
          <w:rPr>
            <w:rFonts w:ascii="Times New Roman" w:hAnsi="Times New Roman" w:cs="Times New Roman"/>
            <w:color w:val="000000"/>
            <w:sz w:val="20"/>
            <w:szCs w:val="20"/>
          </w:rPr>
          <w:t>36;</w:t>
        </w:r>
      </w:hyperlink>
      <w:r>
        <w:rPr>
          <w:rFonts w:ascii="Times New Roman" w:hAnsi="Times New Roman" w:cs="Times New Roman"/>
          <w:color w:val="000000"/>
          <w:sz w:val="20"/>
          <w:szCs w:val="20"/>
        </w:rPr>
        <w:t xml:space="preserve"> </w:t>
      </w:r>
      <w:hyperlink r:id="rId123" w:history="1">
        <w:r>
          <w:rPr>
            <w:rFonts w:ascii="Times New Roman" w:hAnsi="Times New Roman" w:cs="Times New Roman"/>
            <w:i/>
            <w:iCs/>
            <w:color w:val="000000"/>
            <w:sz w:val="20"/>
            <w:szCs w:val="20"/>
          </w:rPr>
          <w:t xml:space="preserve">In re Catfish </w:t>
        </w:r>
        <w:bookmarkStart w:id="61" w:name="co_pp_sp_4637_652_1"/>
        <w:bookmarkEnd w:id="61"/>
        <w:r>
          <w:rPr>
            <w:rFonts w:ascii="Times New Roman" w:hAnsi="Times New Roman" w:cs="Times New Roman"/>
            <w:b/>
            <w:bCs/>
            <w:color w:val="000000"/>
            <w:sz w:val="20"/>
            <w:szCs w:val="20"/>
          </w:rPr>
          <w:t>*652</w:t>
        </w:r>
        <w:r>
          <w:rPr>
            <w:rFonts w:ascii="Times New Roman" w:hAnsi="Times New Roman" w:cs="Times New Roman"/>
            <w:i/>
            <w:iCs/>
            <w:color w:val="000000"/>
            <w:sz w:val="20"/>
            <w:szCs w:val="20"/>
          </w:rPr>
          <w:t xml:space="preserve"> Antitrust Litig.,</w:t>
        </w:r>
        <w:r>
          <w:rPr>
            <w:rFonts w:ascii="Times New Roman" w:hAnsi="Times New Roman" w:cs="Times New Roman"/>
            <w:color w:val="000000"/>
            <w:sz w:val="20"/>
            <w:szCs w:val="20"/>
          </w:rPr>
          <w:t xml:space="preserve"> 939 F.Supp. 493, 499</w:t>
        </w:r>
        <w:r>
          <w:rPr>
            <w:rFonts w:ascii="Times New Roman" w:hAnsi="Times New Roman" w:cs="Times New Roman"/>
            <w:color w:val="000000"/>
            <w:sz w:val="20"/>
            <w:szCs w:val="20"/>
          </w:rPr>
          <w:t>–</w:t>
        </w:r>
        <w:r>
          <w:rPr>
            <w:rFonts w:ascii="Times New Roman" w:hAnsi="Times New Roman" w:cs="Times New Roman"/>
            <w:color w:val="000000"/>
            <w:sz w:val="20"/>
            <w:szCs w:val="20"/>
          </w:rPr>
          <w:t>501 (N.D.Miss.1996)</w:t>
        </w:r>
      </w:hyperlink>
      <w:r>
        <w:rPr>
          <w:rFonts w:ascii="Times New Roman" w:hAnsi="Times New Roman" w:cs="Times New Roman"/>
          <w:color w:val="000000"/>
          <w:sz w:val="20"/>
          <w:szCs w:val="20"/>
        </w:rPr>
        <w: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hyperlink r:id="rId124" w:history="1">
        <w:r>
          <w:rPr>
            <w:rFonts w:ascii="Times New Roman" w:hAnsi="Times New Roman" w:cs="Times New Roman"/>
            <w:b/>
            <w:bCs/>
            <w:color w:val="000000"/>
            <w:sz w:val="20"/>
            <w:szCs w:val="20"/>
            <w:vertAlign w:val="superscript"/>
          </w:rPr>
          <w:t>[4]</w:t>
        </w:r>
      </w:hyperlink>
      <w:bookmarkStart w:id="62" w:name="co_anchor_B42024375594_1"/>
      <w:bookmarkEnd w:id="62"/>
      <w:r>
        <w:rPr>
          <w:rFonts w:ascii="Times New Roman" w:hAnsi="Times New Roman" w:cs="Times New Roman"/>
          <w:color w:val="000000"/>
          <w:sz w:val="20"/>
          <w:szCs w:val="20"/>
        </w:rPr>
        <w:t xml:space="preserve"> Keeping in line with Fifth Circuit precedent and this Court’s prior experience, the Court finds that the blended percentage approach is an appropriate method for calculating reasonable common benefit attorneys’ fees in this case. Ac</w:t>
      </w:r>
      <w:r>
        <w:rPr>
          <w:rFonts w:ascii="Times New Roman" w:hAnsi="Times New Roman" w:cs="Times New Roman"/>
          <w:color w:val="000000"/>
          <w:sz w:val="20"/>
          <w:szCs w:val="20"/>
        </w:rPr>
        <w:t xml:space="preserve">cordingly, the Court will first determine the valuation of the benefit received by the claimants and then select an initial benchmark percentage. The Court will then determine whether the benchmark should be adjusted based on the application of the </w:t>
      </w:r>
      <w:hyperlink r:id="rId125"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factors</w:t>
      </w:r>
      <w:r>
        <w:rPr>
          <w:rFonts w:ascii="Times New Roman" w:hAnsi="Times New Roman" w:cs="Times New Roman"/>
          <w:color w:val="000000"/>
          <w:sz w:val="20"/>
          <w:szCs w:val="20"/>
        </w:rPr>
        <w:t xml:space="preserve"> to the particular circumstances of this case. Finally, the Court will conduct a rough lodestar analysis to cross-check the reasonableness of the percentage fee award. The lodestar analysis is not undertaken to calculate a specific fee, but only to provide</w:t>
      </w:r>
      <w:r>
        <w:rPr>
          <w:rFonts w:ascii="Times New Roman" w:hAnsi="Times New Roman" w:cs="Times New Roman"/>
          <w:color w:val="000000"/>
          <w:sz w:val="20"/>
          <w:szCs w:val="20"/>
        </w:rPr>
        <w:t xml:space="preserve"> a broad cross check on the reasonableness of the fee arrived at by the percentage method.</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63" w:name="co_anchor_I95b00dd49b6911e38578f7ccc38dc"/>
      <w:bookmarkEnd w:id="63"/>
    </w:p>
    <w:p w:rsidR="00000000" w:rsidRDefault="001C0C97">
      <w:pPr>
        <w:widowControl w:val="0"/>
        <w:autoSpaceDE w:val="0"/>
        <w:autoSpaceDN w:val="0"/>
        <w:adjustRightInd w:val="0"/>
        <w:spacing w:before="400" w:after="20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Valuation of the Benefit Obtained</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Settlement Agreement created a $4.85 bill</w:t>
      </w:r>
      <w:r>
        <w:rPr>
          <w:rFonts w:ascii="Times New Roman" w:hAnsi="Times New Roman" w:cs="Times New Roman"/>
          <w:color w:val="000000"/>
          <w:sz w:val="20"/>
          <w:szCs w:val="20"/>
        </w:rPr>
        <w:t xml:space="preserve">ion fund for the compensation of </w:t>
      </w:r>
      <w:hyperlink r:id="rId126"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claimants. Out of that amount, $4 billion was allotted to </w:t>
      </w:r>
      <w:hyperlink r:id="rId127" w:history="1">
        <w:r>
          <w:rPr>
            <w:rFonts w:ascii="Times New Roman" w:hAnsi="Times New Roman" w:cs="Times New Roman"/>
            <w:color w:val="000000"/>
            <w:sz w:val="20"/>
            <w:szCs w:val="20"/>
          </w:rPr>
          <w:t>myocardial infarction</w:t>
        </w:r>
      </w:hyperlink>
      <w:r>
        <w:rPr>
          <w:rFonts w:ascii="Times New Roman" w:hAnsi="Times New Roman" w:cs="Times New Roman"/>
          <w:color w:val="000000"/>
          <w:sz w:val="20"/>
          <w:szCs w:val="20"/>
        </w:rPr>
        <w:t xml:space="preserve"> claims, and $850 million to ischemic stroke claims. The Court finds no reason to omit any portion of t</w:t>
      </w:r>
      <w:r>
        <w:rPr>
          <w:rFonts w:ascii="Times New Roman" w:hAnsi="Times New Roman" w:cs="Times New Roman"/>
          <w:color w:val="000000"/>
          <w:sz w:val="20"/>
          <w:szCs w:val="20"/>
        </w:rPr>
        <w:t>hat settlement fund from consideration with respect to the reasonable amount of common benefit fees. Accordingly, $4.85 billion is the appropriate amount for calculation of a reasonable percentage of common benefit fees.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64" w:name="co_anchor_I95b00dd59b6911e38578f7ccc38dc"/>
      <w:bookmarkEnd w:id="64"/>
    </w:p>
    <w:p w:rsidR="00000000" w:rsidRDefault="001C0C97">
      <w:pPr>
        <w:widowControl w:val="0"/>
        <w:autoSpaceDE w:val="0"/>
        <w:autoSpaceDN w:val="0"/>
        <w:adjustRightInd w:val="0"/>
        <w:spacing w:before="400" w:after="20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 Benchmark Percentage</w:t>
      </w:r>
    </w:p>
    <w:p w:rsidR="00000000" w:rsidRDefault="001C0C97">
      <w:pPr>
        <w:widowControl w:val="0"/>
        <w:autoSpaceDE w:val="0"/>
        <w:autoSpaceDN w:val="0"/>
        <w:adjustRightInd w:val="0"/>
        <w:jc w:val="both"/>
        <w:rPr>
          <w:rFonts w:ascii="Times New Roman" w:hAnsi="Times New Roman" w:cs="Times New Roman"/>
          <w:color w:val="000000"/>
          <w:sz w:val="20"/>
          <w:szCs w:val="20"/>
        </w:rPr>
      </w:pPr>
      <w:hyperlink r:id="rId128" w:history="1">
        <w:r>
          <w:rPr>
            <w:rFonts w:ascii="Times New Roman" w:hAnsi="Times New Roman" w:cs="Times New Roman"/>
            <w:b/>
            <w:bCs/>
            <w:color w:val="000000"/>
            <w:sz w:val="20"/>
            <w:szCs w:val="20"/>
            <w:vertAlign w:val="superscript"/>
          </w:rPr>
          <w:t>[5]</w:t>
        </w:r>
      </w:hyperlink>
      <w:bookmarkStart w:id="65" w:name="co_anchor_B52024375594_1"/>
      <w:bookmarkEnd w:id="65"/>
      <w:r>
        <w:rPr>
          <w:rFonts w:ascii="Times New Roman" w:hAnsi="Times New Roman" w:cs="Times New Roman"/>
          <w:color w:val="000000"/>
          <w:sz w:val="20"/>
          <w:szCs w:val="20"/>
        </w:rPr>
        <w:t xml:space="preserve"> The next task is to determine an initial benchmark percentage. The Court’s goal in setting </w:t>
      </w:r>
      <w:r>
        <w:rPr>
          <w:rFonts w:ascii="Times New Roman" w:hAnsi="Times New Roman" w:cs="Times New Roman"/>
          <w:color w:val="000000"/>
          <w:sz w:val="20"/>
          <w:szCs w:val="20"/>
        </w:rPr>
        <w:t xml:space="preserve">a benchmark percentage is not to rubber-stamp the PLC’s proposed figure. Rather, the Court will endeavor to arrive at an independent and justified reasonable percentage appropriate to the facts particular to this global settlement. To accomplish that end, </w:t>
      </w:r>
      <w:r>
        <w:rPr>
          <w:rFonts w:ascii="Times New Roman" w:hAnsi="Times New Roman" w:cs="Times New Roman"/>
          <w:color w:val="000000"/>
          <w:sz w:val="20"/>
          <w:szCs w:val="20"/>
        </w:rPr>
        <w:t>several resources may be utilized.</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First, this Court is among the many throughout the country that have considered data compiled in a pair of recent empirical studies of attorneys’ fees in class action settlements, Theodore Eisenberg &amp; Geoffrey P. Miller</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Attorney Fees in Class Action Settlements: An Empirical Study,</w:t>
      </w:r>
      <w:r>
        <w:rPr>
          <w:rFonts w:ascii="Times New Roman" w:hAnsi="Times New Roman" w:cs="Times New Roman"/>
          <w:color w:val="000000"/>
          <w:sz w:val="20"/>
          <w:szCs w:val="20"/>
        </w:rPr>
        <w:t xml:space="preserve"> 1 J. Empirical Legal Stud. 27, 31</w:t>
      </w:r>
      <w:r>
        <w:rPr>
          <w:rFonts w:ascii="Times New Roman" w:hAnsi="Times New Roman" w:cs="Times New Roman"/>
          <w:color w:val="000000"/>
          <w:sz w:val="20"/>
          <w:szCs w:val="20"/>
        </w:rPr>
        <w:t>–</w:t>
      </w:r>
      <w:r>
        <w:rPr>
          <w:rFonts w:ascii="Times New Roman" w:hAnsi="Times New Roman" w:cs="Times New Roman"/>
          <w:color w:val="000000"/>
          <w:sz w:val="20"/>
          <w:szCs w:val="20"/>
        </w:rPr>
        <w:t>32 (2004) (</w:t>
      </w:r>
      <w:r>
        <w:rPr>
          <w:rFonts w:ascii="Times New Roman" w:hAnsi="Times New Roman" w:cs="Times New Roman"/>
          <w:color w:val="000000"/>
          <w:sz w:val="20"/>
          <w:szCs w:val="20"/>
        </w:rPr>
        <w:t>“</w:t>
      </w:r>
      <w:r>
        <w:rPr>
          <w:rFonts w:ascii="Times New Roman" w:hAnsi="Times New Roman" w:cs="Times New Roman"/>
          <w:color w:val="000000"/>
          <w:sz w:val="20"/>
          <w:szCs w:val="20"/>
        </w:rPr>
        <w:t>Eisenberg &amp; Miller 2004</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Theodore Eisenberg &amp; Geoffrey P. Miller, </w:t>
      </w:r>
      <w:r>
        <w:rPr>
          <w:rFonts w:ascii="Times New Roman" w:hAnsi="Times New Roman" w:cs="Times New Roman"/>
          <w:i/>
          <w:iCs/>
          <w:color w:val="000000"/>
          <w:sz w:val="20"/>
          <w:szCs w:val="20"/>
        </w:rPr>
        <w:t>Attorney Fees and Expenses in Class Action Settlements:</w:t>
      </w:r>
      <w:r>
        <w:rPr>
          <w:rFonts w:ascii="Times New Roman" w:hAnsi="Times New Roman" w:cs="Times New Roman"/>
          <w:color w:val="000000"/>
          <w:sz w:val="20"/>
          <w:szCs w:val="20"/>
        </w:rPr>
        <w:t xml:space="preserve"> 1993</w:t>
      </w:r>
      <w:r>
        <w:rPr>
          <w:rFonts w:ascii="Times New Roman" w:hAnsi="Times New Roman" w:cs="Times New Roman"/>
          <w:color w:val="000000"/>
          <w:sz w:val="20"/>
          <w:szCs w:val="20"/>
        </w:rPr>
        <w:t>–</w:t>
      </w:r>
      <w:r>
        <w:rPr>
          <w:rFonts w:ascii="Times New Roman" w:hAnsi="Times New Roman" w:cs="Times New Roman"/>
          <w:color w:val="000000"/>
          <w:sz w:val="20"/>
          <w:szCs w:val="20"/>
        </w:rPr>
        <w:t>2008, 7 J. E</w:t>
      </w:r>
      <w:r>
        <w:rPr>
          <w:rFonts w:ascii="Times New Roman" w:hAnsi="Times New Roman" w:cs="Times New Roman"/>
          <w:color w:val="000000"/>
          <w:sz w:val="20"/>
          <w:szCs w:val="20"/>
        </w:rPr>
        <w:t xml:space="preserve">mpirical Legal Stud. 248 (2010) ( </w:t>
      </w:r>
      <w:r>
        <w:rPr>
          <w:rFonts w:ascii="Times New Roman" w:hAnsi="Times New Roman" w:cs="Times New Roman"/>
          <w:color w:val="000000"/>
          <w:sz w:val="20"/>
          <w:szCs w:val="20"/>
        </w:rPr>
        <w:t>“</w:t>
      </w:r>
      <w:r>
        <w:rPr>
          <w:rFonts w:ascii="Times New Roman" w:hAnsi="Times New Roman" w:cs="Times New Roman"/>
          <w:color w:val="000000"/>
          <w:sz w:val="20"/>
          <w:szCs w:val="20"/>
        </w:rPr>
        <w:t>Eisenberg &amp; Miller 2010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when computing the appropriate benchmark percentage in a class settlement. </w:t>
      </w:r>
      <w:r>
        <w:rPr>
          <w:rFonts w:ascii="Times New Roman" w:hAnsi="Times New Roman" w:cs="Times New Roman"/>
          <w:i/>
          <w:iCs/>
          <w:color w:val="000000"/>
          <w:sz w:val="20"/>
          <w:szCs w:val="20"/>
        </w:rPr>
        <w:t xml:space="preserve">See </w:t>
      </w:r>
      <w:hyperlink r:id="rId129" w:history="1">
        <w:r>
          <w:rPr>
            <w:rFonts w:ascii="Times New Roman" w:hAnsi="Times New Roman" w:cs="Times New Roman"/>
            <w:i/>
            <w:iCs/>
            <w:color w:val="000000"/>
            <w:sz w:val="20"/>
            <w:szCs w:val="20"/>
          </w:rPr>
          <w:t>In re Lawnmower Engine Horsepower Mktg. &amp; Sales Practices Litig.,</w:t>
        </w:r>
        <w:r>
          <w:rPr>
            <w:rFonts w:ascii="Times New Roman" w:hAnsi="Times New Roman" w:cs="Times New Roman"/>
            <w:color w:val="000000"/>
            <w:sz w:val="20"/>
            <w:szCs w:val="20"/>
          </w:rPr>
          <w:t xml:space="preserve"> 733 F.S</w:t>
        </w:r>
        <w:r>
          <w:rPr>
            <w:rFonts w:ascii="Times New Roman" w:hAnsi="Times New Roman" w:cs="Times New Roman"/>
            <w:color w:val="000000"/>
            <w:sz w:val="20"/>
            <w:szCs w:val="20"/>
          </w:rPr>
          <w:t>upp.2d 997, 1012</w:t>
        </w:r>
        <w:r>
          <w:rPr>
            <w:rFonts w:ascii="Times New Roman" w:hAnsi="Times New Roman" w:cs="Times New Roman"/>
            <w:color w:val="000000"/>
            <w:sz w:val="20"/>
            <w:szCs w:val="20"/>
          </w:rPr>
          <w:t>–</w:t>
        </w:r>
        <w:r>
          <w:rPr>
            <w:rFonts w:ascii="Times New Roman" w:hAnsi="Times New Roman" w:cs="Times New Roman"/>
            <w:color w:val="000000"/>
            <w:sz w:val="20"/>
            <w:szCs w:val="20"/>
          </w:rPr>
          <w:t>15 (E.D.Wis.2010)</w:t>
        </w:r>
      </w:hyperlink>
      <w:r>
        <w:rPr>
          <w:rFonts w:ascii="Times New Roman" w:hAnsi="Times New Roman" w:cs="Times New Roman"/>
          <w:color w:val="000000"/>
          <w:sz w:val="20"/>
          <w:szCs w:val="20"/>
        </w:rPr>
        <w:t xml:space="preserve">; </w:t>
      </w:r>
      <w:hyperlink r:id="rId130" w:history="1">
        <w:r>
          <w:rPr>
            <w:rFonts w:ascii="Times New Roman" w:hAnsi="Times New Roman" w:cs="Times New Roman"/>
            <w:i/>
            <w:iCs/>
            <w:color w:val="000000"/>
            <w:sz w:val="20"/>
            <w:szCs w:val="20"/>
          </w:rPr>
          <w:t>Murphy Oil,</w:t>
        </w:r>
        <w:r>
          <w:rPr>
            <w:rFonts w:ascii="Times New Roman" w:hAnsi="Times New Roman" w:cs="Times New Roman"/>
            <w:color w:val="000000"/>
            <w:sz w:val="20"/>
            <w:szCs w:val="20"/>
          </w:rPr>
          <w:t xml:space="preserve"> 472 F.Supp.2d at 862</w:t>
        </w:r>
        <w:r>
          <w:rPr>
            <w:rFonts w:ascii="Times New Roman" w:hAnsi="Times New Roman" w:cs="Times New Roman"/>
            <w:color w:val="000000"/>
            <w:sz w:val="20"/>
            <w:szCs w:val="20"/>
          </w:rPr>
          <w:t>–</w:t>
        </w:r>
        <w:r>
          <w:rPr>
            <w:rFonts w:ascii="Times New Roman" w:hAnsi="Times New Roman" w:cs="Times New Roman"/>
            <w:color w:val="000000"/>
            <w:sz w:val="20"/>
            <w:szCs w:val="20"/>
          </w:rPr>
          <w:t>64;</w:t>
        </w:r>
      </w:hyperlink>
      <w:r>
        <w:rPr>
          <w:rFonts w:ascii="Times New Roman" w:hAnsi="Times New Roman" w:cs="Times New Roman"/>
          <w:color w:val="000000"/>
          <w:sz w:val="20"/>
          <w:szCs w:val="20"/>
        </w:rPr>
        <w:t xml:space="preserve"> </w:t>
      </w:r>
      <w:hyperlink r:id="rId131" w:history="1">
        <w:r>
          <w:rPr>
            <w:rFonts w:ascii="Times New Roman" w:hAnsi="Times New Roman" w:cs="Times New Roman"/>
            <w:i/>
            <w:iCs/>
            <w:color w:val="000000"/>
            <w:sz w:val="20"/>
            <w:szCs w:val="20"/>
          </w:rPr>
          <w:t>In re ETS,</w:t>
        </w:r>
        <w:r>
          <w:rPr>
            <w:rFonts w:ascii="Times New Roman" w:hAnsi="Times New Roman" w:cs="Times New Roman"/>
            <w:color w:val="000000"/>
            <w:sz w:val="20"/>
            <w:szCs w:val="20"/>
          </w:rPr>
          <w:t xml:space="preserve"> 447 F.Supp.2d at 630;</w:t>
        </w:r>
      </w:hyperlink>
      <w:r>
        <w:rPr>
          <w:rFonts w:ascii="Times New Roman" w:hAnsi="Times New Roman" w:cs="Times New Roman"/>
          <w:color w:val="000000"/>
          <w:sz w:val="20"/>
          <w:szCs w:val="20"/>
        </w:rPr>
        <w:t xml:space="preserve"> </w:t>
      </w:r>
      <w:hyperlink r:id="rId132" w:history="1">
        <w:r>
          <w:rPr>
            <w:rFonts w:ascii="Times New Roman" w:hAnsi="Times New Roman" w:cs="Times New Roman"/>
            <w:i/>
            <w:iCs/>
            <w:color w:val="000000"/>
            <w:sz w:val="20"/>
            <w:szCs w:val="20"/>
          </w:rPr>
          <w:t xml:space="preserve">Allapattah Servs., </w:t>
        </w:r>
        <w:r>
          <w:rPr>
            <w:rFonts w:ascii="Times New Roman" w:hAnsi="Times New Roman" w:cs="Times New Roman"/>
            <w:i/>
            <w:iCs/>
            <w:color w:val="000000"/>
            <w:sz w:val="20"/>
            <w:szCs w:val="20"/>
          </w:rPr>
          <w:t>Inc. v. Exxon Corp.,</w:t>
        </w:r>
        <w:r>
          <w:rPr>
            <w:rFonts w:ascii="Times New Roman" w:hAnsi="Times New Roman" w:cs="Times New Roman"/>
            <w:color w:val="000000"/>
            <w:sz w:val="20"/>
            <w:szCs w:val="20"/>
          </w:rPr>
          <w:t xml:space="preserve"> 454 F.Supp.2d 1185, 1212 (S.D.Fla.2006)</w:t>
        </w:r>
      </w:hyperlink>
      <w:r>
        <w:rPr>
          <w:rFonts w:ascii="Times New Roman" w:hAnsi="Times New Roman" w:cs="Times New Roman"/>
          <w:color w:val="000000"/>
          <w:sz w:val="20"/>
          <w:szCs w:val="20"/>
        </w:rPr>
        <w:t xml:space="preserve">; </w:t>
      </w:r>
      <w:hyperlink r:id="rId133" w:history="1">
        <w:r>
          <w:rPr>
            <w:rFonts w:ascii="Times New Roman" w:hAnsi="Times New Roman" w:cs="Times New Roman"/>
            <w:i/>
            <w:iCs/>
            <w:color w:val="000000"/>
            <w:sz w:val="20"/>
            <w:szCs w:val="20"/>
          </w:rPr>
          <w:t>In re Cabletron Sys.,</w:t>
        </w:r>
        <w:r>
          <w:rPr>
            <w:rFonts w:ascii="Times New Roman" w:hAnsi="Times New Roman" w:cs="Times New Roman"/>
            <w:color w:val="000000"/>
            <w:sz w:val="20"/>
            <w:szCs w:val="20"/>
          </w:rPr>
          <w:t xml:space="preserve"> 239 F.R.D. at 37 n. 12, 41.</w:t>
        </w:r>
      </w:hyperlink>
      <w:r>
        <w:rPr>
          <w:rFonts w:ascii="Times New Roman" w:hAnsi="Times New Roman" w:cs="Times New Roman"/>
          <w:color w:val="000000"/>
          <w:sz w:val="20"/>
          <w:szCs w:val="20"/>
        </w:rPr>
        <w:t xml:space="preserve"> The Eisenberg and Miller studies are helpful for providing concrete evidence for the relationship betwe</w:t>
      </w:r>
      <w:r>
        <w:rPr>
          <w:rFonts w:ascii="Times New Roman" w:hAnsi="Times New Roman" w:cs="Times New Roman"/>
          <w:color w:val="000000"/>
          <w:sz w:val="20"/>
          <w:szCs w:val="20"/>
        </w:rPr>
        <w:t>en the amount recovered and the attorneys’ fee award; the empirical data shows that as settlement amounts rise, the reasonable percentage of attorneys’ fees decreases. Eisenberg &amp; Miller 2004 at 54</w:t>
      </w:r>
      <w:r>
        <w:rPr>
          <w:rFonts w:ascii="Times New Roman" w:hAnsi="Times New Roman" w:cs="Times New Roman"/>
          <w:color w:val="000000"/>
          <w:sz w:val="20"/>
          <w:szCs w:val="20"/>
        </w:rPr>
        <w:t>–</w:t>
      </w:r>
      <w:r>
        <w:rPr>
          <w:rFonts w:ascii="Times New Roman" w:hAnsi="Times New Roman" w:cs="Times New Roman"/>
          <w:color w:val="000000"/>
          <w:sz w:val="20"/>
          <w:szCs w:val="20"/>
        </w:rPr>
        <w:t>55; Eisenberg &amp; Miller 2010 at 263</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65. However, given the </w:t>
      </w:r>
      <w:r>
        <w:rPr>
          <w:rFonts w:ascii="Times New Roman" w:hAnsi="Times New Roman" w:cs="Times New Roman"/>
          <w:color w:val="000000"/>
          <w:sz w:val="20"/>
          <w:szCs w:val="20"/>
        </w:rPr>
        <w:t xml:space="preserve">amount of the settlement in the </w:t>
      </w:r>
      <w:hyperlink r:id="rId134"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MDL and the opt-in nature of the Master Settlement Agreement, the studies are of limited usefulness in determining a reasonable benchmark percentage for a common benefit fee award.</w:t>
      </w:r>
      <w:bookmarkStart w:id="66" w:name="co_footnoteReference_B018182024375594_ID"/>
      <w:bookmarkEnd w:id="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"#co_footnote_B018182024375594_1"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Eisenberg and Miller studied </w:t>
      </w:r>
      <w:bookmarkStart w:id="67" w:name="co_pp_sp_4637_653_1"/>
      <w:bookmarkEnd w:id="67"/>
      <w:r>
        <w:rPr>
          <w:rFonts w:ascii="Times New Roman" w:hAnsi="Times New Roman" w:cs="Times New Roman"/>
          <w:b/>
          <w:bCs/>
          <w:color w:val="000000"/>
          <w:sz w:val="20"/>
          <w:szCs w:val="20"/>
        </w:rPr>
        <w:t>*653</w:t>
      </w:r>
      <w:r>
        <w:rPr>
          <w:rFonts w:ascii="Times New Roman" w:hAnsi="Times New Roman" w:cs="Times New Roman"/>
          <w:color w:val="000000"/>
          <w:sz w:val="20"/>
          <w:szCs w:val="20"/>
        </w:rPr>
        <w:t xml:space="preserve"> settlements of class actions, and although this Court has recognized that in some respects the MDL resembles a class action, in other respects this case is quite different.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68" w:name="co_footnote_B018182024375594_1"/>
          <w:bookmarkEnd w:id="68"/>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w:instrText>
            </w:r>
            <w:r>
              <w:rPr>
                <w:rFonts w:ascii="Times New Roman" w:hAnsi="Times New Roman" w:cs="Times New Roman"/>
                <w:color w:val="000000"/>
                <w:sz w:val="20"/>
                <w:szCs w:val="20"/>
              </w:rPr>
              <w:instrText xml:space="preserve">oteReference_B018182024375594_ID"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18</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William B. Rubenstein, </w:t>
            </w:r>
            <w:r>
              <w:rPr>
                <w:rFonts w:ascii="Times New Roman" w:hAnsi="Times New Roman" w:cs="Times New Roman"/>
                <w:i/>
                <w:iCs/>
                <w:color w:val="000000"/>
                <w:sz w:val="18"/>
                <w:szCs w:val="18"/>
              </w:rPr>
              <w:t xml:space="preserve">On What a </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Common Benefit Fee</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 xml:space="preserve"> Is, Is Not, and Should Be,</w:t>
            </w:r>
            <w:r>
              <w:rPr>
                <w:rFonts w:ascii="Times New Roman" w:hAnsi="Times New Roman" w:cs="Times New Roman"/>
                <w:color w:val="000000"/>
                <w:sz w:val="18"/>
                <w:szCs w:val="18"/>
              </w:rPr>
              <w:t xml:space="preserve"> 3 Class Action Att’y Fee Dig. 87, 89 (2009) (</w:t>
            </w:r>
            <w:r>
              <w:rPr>
                <w:rFonts w:ascii="Times New Roman" w:hAnsi="Times New Roman" w:cs="Times New Roman"/>
                <w:color w:val="000000"/>
                <w:sz w:val="18"/>
                <w:szCs w:val="18"/>
              </w:rPr>
              <w:t>“</w:t>
            </w:r>
            <w:r>
              <w:rPr>
                <w:rFonts w:ascii="Times New Roman" w:hAnsi="Times New Roman" w:cs="Times New Roman"/>
                <w:color w:val="000000"/>
                <w:sz w:val="18"/>
                <w:szCs w:val="18"/>
              </w:rPr>
              <w:t>As a judicially imposed portion of a larger privately-negotiated contingent fee, the common benefit fee is logically, therefore, generally a lower fee than the class action fee award.</w:t>
            </w:r>
            <w:r>
              <w:rPr>
                <w:rFonts w:ascii="Times New Roman" w:hAnsi="Times New Roman" w:cs="Times New Roman"/>
                <w:color w:val="000000"/>
                <w:sz w:val="18"/>
                <w:szCs w:val="18"/>
              </w:rPr>
              <w:t>”</w:t>
            </w:r>
            <w:r>
              <w:rPr>
                <w:rFonts w:ascii="Times New Roman" w:hAnsi="Times New Roman" w:cs="Times New Roman"/>
                <w:color w:val="000000"/>
                <w:sz w:val="18"/>
                <w:szCs w:val="18"/>
              </w:rPr>
              <w:t>) (emphasis in original).</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In a typical application for a class action</w:t>
      </w:r>
      <w:r>
        <w:rPr>
          <w:rFonts w:ascii="Times New Roman" w:hAnsi="Times New Roman" w:cs="Times New Roman"/>
          <w:color w:val="000000"/>
          <w:sz w:val="20"/>
          <w:szCs w:val="20"/>
        </w:rPr>
        <w:t xml:space="preserve"> fee award, the Court allocates a percentage of the class’s recovery to class counsel as compensation. </w:t>
      </w:r>
      <w:hyperlink r:id="rId135" w:history="1">
        <w:r>
          <w:rPr>
            <w:rFonts w:ascii="Times New Roman" w:hAnsi="Times New Roman" w:cs="Times New Roman"/>
            <w:color w:val="000000"/>
            <w:sz w:val="20"/>
            <w:szCs w:val="20"/>
          </w:rPr>
          <w:t>Fed.R.Civ.P. 23(h)</w:t>
        </w:r>
      </w:hyperlink>
      <w:r>
        <w:rPr>
          <w:rFonts w:ascii="Times New Roman" w:hAnsi="Times New Roman" w:cs="Times New Roman"/>
          <w:color w:val="000000"/>
          <w:sz w:val="20"/>
          <w:szCs w:val="20"/>
        </w:rPr>
        <w:t xml:space="preserve">. Class counsel perform all the work on behalf of the class and are the sole attorneys for the class members. With few exceptions, </w:t>
      </w:r>
      <w:r>
        <w:rPr>
          <w:rFonts w:ascii="Times New Roman" w:hAnsi="Times New Roman" w:cs="Times New Roman"/>
          <w:color w:val="000000"/>
          <w:sz w:val="20"/>
          <w:szCs w:val="20"/>
        </w:rPr>
        <w:t xml:space="preserve">all work done by class counsel benefits all members in the class and not just the lead plaintiffs. Thus, in a typical class action fee award the tension is between </w:t>
      </w:r>
      <w:r>
        <w:rPr>
          <w:rFonts w:ascii="Times New Roman" w:hAnsi="Times New Roman" w:cs="Times New Roman"/>
          <w:color w:val="000000"/>
          <w:sz w:val="20"/>
          <w:szCs w:val="20"/>
        </w:rPr>
        <w:t>the interests of counsel in receiving reasonable compensation for their work, and class memb</w:t>
      </w:r>
      <w:r>
        <w:rPr>
          <w:rFonts w:ascii="Times New Roman" w:hAnsi="Times New Roman" w:cs="Times New Roman"/>
          <w:color w:val="000000"/>
          <w:sz w:val="20"/>
          <w:szCs w:val="20"/>
        </w:rPr>
        <w:t>ers in ensuring that counsel does not receive a windfall.</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dynamic involved in the fee application in the present case is different. The Settlement Agreement was not a class action settlement, but was rather a complicated opt-in resolution of individu</w:t>
      </w:r>
      <w:r>
        <w:rPr>
          <w:rFonts w:ascii="Times New Roman" w:hAnsi="Times New Roman" w:cs="Times New Roman"/>
          <w:color w:val="000000"/>
          <w:sz w:val="20"/>
          <w:szCs w:val="20"/>
        </w:rPr>
        <w:t>al personal injury claims. The vast majority of these personal injury claims were governed by a contingent fee contract between the individual claimant and his or her primary attorney. The Court, as mentioned, previously capped the amount of those continge</w:t>
      </w:r>
      <w:r>
        <w:rPr>
          <w:rFonts w:ascii="Times New Roman" w:hAnsi="Times New Roman" w:cs="Times New Roman"/>
          <w:color w:val="000000"/>
          <w:sz w:val="20"/>
          <w:szCs w:val="20"/>
        </w:rPr>
        <w:t xml:space="preserve">nt fee contracts at 32%. By the terms of the Settlement Agreement and this Court’s Order capping fees, a common benefit award is deducted not from the claimant’s portion but from the total amount of counsel fees payable under the individual contingent fee </w:t>
      </w:r>
      <w:r>
        <w:rPr>
          <w:rFonts w:ascii="Times New Roman" w:hAnsi="Times New Roman" w:cs="Times New Roman"/>
          <w:color w:val="000000"/>
          <w:sz w:val="20"/>
          <w:szCs w:val="20"/>
        </w:rPr>
        <w:t xml:space="preserve">arrangements. Thus, 32% of $4.85 billion represents the total amount of possible attorney compensation, including work done by the claimant’s primary attorney on his or her behalf and work done by common benefit attorneys on behalf of all </w:t>
      </w:r>
      <w:hyperlink r:id="rId136"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claimants. The tension in this case is between </w:t>
      </w:r>
      <w:r>
        <w:rPr>
          <w:rFonts w:ascii="Times New Roman" w:hAnsi="Times New Roman" w:cs="Times New Roman"/>
          <w:color w:val="000000"/>
          <w:sz w:val="20"/>
          <w:szCs w:val="20"/>
        </w:rPr>
        <w:t>the attorneys who have done common benefit work and the primary attorneys who have not.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Members of the PSC and others who performed common benefit work in the MDL are undoubtedly entitled to compensation. So, too are the primary attorneys who represented</w:t>
      </w:r>
      <w:r>
        <w:rPr>
          <w:rFonts w:ascii="Times New Roman" w:hAnsi="Times New Roman" w:cs="Times New Roman"/>
          <w:color w:val="000000"/>
          <w:sz w:val="20"/>
          <w:szCs w:val="20"/>
        </w:rPr>
        <w:t xml:space="preserve"> individual claimants and bore the responsibility of obtaining information from them and keeping them advised of all developments. This Court has acknowledged the substantial work done by individual attorneys. </w:t>
      </w:r>
      <w:hyperlink r:id="rId137" w:history="1">
        <w:r>
          <w:rPr>
            <w:rFonts w:ascii="Times New Roman" w:hAnsi="Times New Roman" w:cs="Times New Roman"/>
            <w:i/>
            <w:iCs/>
            <w:color w:val="000000"/>
            <w:sz w:val="20"/>
            <w:szCs w:val="20"/>
          </w:rPr>
          <w:t xml:space="preserve">In re </w:t>
        </w:r>
        <w:r>
          <w:rPr>
            <w:rFonts w:ascii="Times New Roman" w:hAnsi="Times New Roman" w:cs="Times New Roman"/>
            <w:i/>
            <w:iCs/>
            <w:color w:val="000000"/>
            <w:sz w:val="20"/>
            <w:szCs w:val="20"/>
          </w:rPr>
          <w:t>Vioxx,</w:t>
        </w:r>
        <w:r>
          <w:rPr>
            <w:rFonts w:ascii="Times New Roman" w:hAnsi="Times New Roman" w:cs="Times New Roman"/>
            <w:color w:val="000000"/>
            <w:sz w:val="20"/>
            <w:szCs w:val="20"/>
          </w:rPr>
          <w:t xml:space="preserve"> 650 F.Supp.2d at 564.</w:t>
        </w:r>
      </w:hyperlink>
      <w:r>
        <w:rPr>
          <w:rFonts w:ascii="Times New Roman" w:hAnsi="Times New Roman" w:cs="Times New Roman"/>
          <w:color w:val="000000"/>
          <w:sz w:val="20"/>
          <w:szCs w:val="20"/>
        </w:rPr>
        <w:t xml:space="preserve"> But the undeniable fact remains that the great bulk of the work as well as the expense was borne by the attorneys who performed common benefit work. Thus, in determining a reasonable common benefit fee the Court must resolve</w:t>
      </w:r>
      <w:r>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w:t>
      </w:r>
      <w:r>
        <w:rPr>
          <w:rFonts w:ascii="Times New Roman" w:hAnsi="Times New Roman" w:cs="Times New Roman"/>
          <w:color w:val="000000"/>
          <w:sz w:val="20"/>
          <w:szCs w:val="20"/>
        </w:rPr>
        <w:t>taffy pull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between the interests of common benefit counsel and primary attorneys in receiving fair compensation for their respective work. At first blush to award common benefit fees might be criticized as double dipping and not appropriate. But on </w:t>
      </w:r>
      <w:r>
        <w:rPr>
          <w:rFonts w:ascii="Times New Roman" w:hAnsi="Times New Roman" w:cs="Times New Roman"/>
          <w:color w:val="000000"/>
          <w:sz w:val="20"/>
          <w:szCs w:val="20"/>
        </w:rPr>
        <w:t xml:space="preserve">closer scrutiny it clearly is not. It is true that many of those who have done common benefit work have their own clients and have received or will receive a fee from them. But it is not double dipping because the common benefit fee will not come from any </w:t>
      </w:r>
      <w:r>
        <w:rPr>
          <w:rFonts w:ascii="Times New Roman" w:hAnsi="Times New Roman" w:cs="Times New Roman"/>
          <w:color w:val="000000"/>
          <w:sz w:val="20"/>
          <w:szCs w:val="20"/>
        </w:rPr>
        <w:t xml:space="preserve">client. Instead it will come from the attorneys, most of whom have not done any common benefit work but have received enormous benefit from it. Thus as between a common benefit attorney who expended considerable time, resources, and took </w:t>
      </w:r>
      <w:r>
        <w:rPr>
          <w:rFonts w:ascii="Times New Roman" w:hAnsi="Times New Roman" w:cs="Times New Roman"/>
          <w:color w:val="000000"/>
          <w:sz w:val="20"/>
          <w:szCs w:val="20"/>
        </w:rPr>
        <w:lastRenderedPageBreak/>
        <w:t>significant econom</w:t>
      </w:r>
      <w:r>
        <w:rPr>
          <w:rFonts w:ascii="Times New Roman" w:hAnsi="Times New Roman" w:cs="Times New Roman"/>
          <w:color w:val="000000"/>
          <w:sz w:val="20"/>
          <w:szCs w:val="20"/>
        </w:rPr>
        <w:t>ic risks to produce the fee, and the primary attorney who did not, it is appropriate and equitable that the former receive some economic recognition from the beneficiary of this work.</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69" w:name="co_pp_sp_4637_654_1"/>
      <w:bookmarkEnd w:id="69"/>
      <w:r>
        <w:rPr>
          <w:rFonts w:ascii="Times New Roman" w:hAnsi="Times New Roman" w:cs="Times New Roman"/>
          <w:b/>
          <w:bCs/>
          <w:color w:val="000000"/>
          <w:sz w:val="20"/>
          <w:szCs w:val="20"/>
        </w:rPr>
        <w:t>*654</w:t>
      </w:r>
      <w:r>
        <w:rPr>
          <w:rFonts w:ascii="Times New Roman" w:hAnsi="Times New Roman" w:cs="Times New Roman"/>
          <w:color w:val="000000"/>
          <w:sz w:val="20"/>
          <w:szCs w:val="20"/>
        </w:rPr>
        <w:t xml:space="preserve"> To determine an appropriate</w:t>
      </w:r>
      <w:r>
        <w:rPr>
          <w:rFonts w:ascii="Times New Roman" w:hAnsi="Times New Roman" w:cs="Times New Roman"/>
          <w:color w:val="000000"/>
          <w:sz w:val="20"/>
          <w:szCs w:val="20"/>
        </w:rPr>
        <w:t xml:space="preserve"> common benefit fee in this case the Court looks to comparable MDL set-aside assessments and awards of common benefit fees. Two notable examples are found in the </w:t>
      </w:r>
      <w:hyperlink r:id="rId138" w:history="1">
        <w:r>
          <w:rPr>
            <w:rFonts w:ascii="Times New Roman" w:hAnsi="Times New Roman" w:cs="Times New Roman"/>
            <w:i/>
            <w:iCs/>
            <w:color w:val="000000"/>
            <w:sz w:val="20"/>
            <w:szCs w:val="20"/>
          </w:rPr>
          <w:t>Zyprexa</w:t>
        </w:r>
      </w:hyperlink>
      <w:r>
        <w:rPr>
          <w:rFonts w:ascii="Times New Roman" w:hAnsi="Times New Roman" w:cs="Times New Roman"/>
          <w:color w:val="000000"/>
          <w:sz w:val="20"/>
          <w:szCs w:val="20"/>
        </w:rPr>
        <w:t xml:space="preserve"> and </w:t>
      </w:r>
      <w:r>
        <w:rPr>
          <w:rFonts w:ascii="Times New Roman" w:hAnsi="Times New Roman" w:cs="Times New Roman"/>
          <w:i/>
          <w:iCs/>
          <w:color w:val="000000"/>
          <w:sz w:val="20"/>
          <w:szCs w:val="20"/>
        </w:rPr>
        <w:t>Guidant</w:t>
      </w:r>
      <w:r>
        <w:rPr>
          <w:rFonts w:ascii="Times New Roman" w:hAnsi="Times New Roman" w:cs="Times New Roman"/>
          <w:color w:val="000000"/>
          <w:sz w:val="20"/>
          <w:szCs w:val="20"/>
        </w:rPr>
        <w:t xml:space="preserve"> litigations, which this Court has previously cited as being similar to the </w:t>
      </w:r>
      <w:hyperlink r:id="rId139"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litigation. In </w:t>
      </w:r>
      <w:r>
        <w:rPr>
          <w:rFonts w:ascii="Times New Roman" w:hAnsi="Times New Roman" w:cs="Times New Roman"/>
          <w:i/>
          <w:iCs/>
          <w:color w:val="000000"/>
          <w:sz w:val="20"/>
          <w:szCs w:val="20"/>
        </w:rPr>
        <w:t>In re Zyprexa,</w:t>
      </w:r>
      <w:r>
        <w:rPr>
          <w:rFonts w:ascii="Times New Roman" w:hAnsi="Times New Roman" w:cs="Times New Roman"/>
          <w:color w:val="000000"/>
          <w:sz w:val="20"/>
          <w:szCs w:val="20"/>
        </w:rPr>
        <w:t xml:space="preserve"> the court established two separate </w:t>
      </w:r>
      <w:r>
        <w:rPr>
          <w:rFonts w:ascii="Times New Roman" w:hAnsi="Times New Roman" w:cs="Times New Roman"/>
          <w:color w:val="000000"/>
          <w:sz w:val="20"/>
          <w:szCs w:val="20"/>
        </w:rPr>
        <w:t xml:space="preserve">common benefit funds to compensate common benefit work done by two separate Plaintiffs’ Steering Committees. The first PSC was compensated by a set-aside of 1% of the gross amount of a master settlement, plus interest on the amount held in escrow. </w:t>
      </w:r>
      <w:r>
        <w:rPr>
          <w:rFonts w:ascii="Times New Roman" w:hAnsi="Times New Roman" w:cs="Times New Roman"/>
          <w:i/>
          <w:iCs/>
          <w:color w:val="000000"/>
          <w:sz w:val="20"/>
          <w:szCs w:val="20"/>
        </w:rPr>
        <w:t xml:space="preserve">See </w:t>
      </w:r>
      <w:hyperlink r:id="rId140" w:history="1">
        <w:r>
          <w:rPr>
            <w:rFonts w:ascii="Times New Roman" w:hAnsi="Times New Roman" w:cs="Times New Roman"/>
            <w:i/>
            <w:iCs/>
            <w:color w:val="000000"/>
            <w:sz w:val="20"/>
            <w:szCs w:val="20"/>
          </w:rPr>
          <w:t>In re Zyprexa,</w:t>
        </w:r>
        <w:r>
          <w:rPr>
            <w:rFonts w:ascii="Times New Roman" w:hAnsi="Times New Roman" w:cs="Times New Roman"/>
            <w:color w:val="000000"/>
            <w:sz w:val="20"/>
            <w:szCs w:val="20"/>
          </w:rPr>
          <w:t xml:space="preserve"> 467 F.Supp.2d at 263.</w:t>
        </w:r>
      </w:hyperlink>
      <w:r>
        <w:rPr>
          <w:rFonts w:ascii="Times New Roman" w:hAnsi="Times New Roman" w:cs="Times New Roman"/>
          <w:color w:val="000000"/>
          <w:sz w:val="20"/>
          <w:szCs w:val="20"/>
        </w:rPr>
        <w:t xml:space="preserve"> A second fund was established to compensate the second PSC through a 3% hold-back of any subsequent recoveries, to be split evenly between the claimant’s recovery and the fees othe</w:t>
      </w:r>
      <w:r>
        <w:rPr>
          <w:rFonts w:ascii="Times New Roman" w:hAnsi="Times New Roman" w:cs="Times New Roman"/>
          <w:color w:val="000000"/>
          <w:sz w:val="20"/>
          <w:szCs w:val="20"/>
        </w:rPr>
        <w:t xml:space="preserve">rwise payable to the individual attorney. </w:t>
      </w:r>
      <w:r>
        <w:rPr>
          <w:rFonts w:ascii="Times New Roman" w:hAnsi="Times New Roman" w:cs="Times New Roman"/>
          <w:i/>
          <w:iCs/>
          <w:color w:val="000000"/>
          <w:sz w:val="20"/>
          <w:szCs w:val="20"/>
        </w:rPr>
        <w:t xml:space="preserve">See </w:t>
      </w:r>
      <w:hyperlink r:id="rId141" w:history="1">
        <w:r>
          <w:rPr>
            <w:rFonts w:ascii="Times New Roman" w:hAnsi="Times New Roman" w:cs="Times New Roman"/>
            <w:i/>
            <w:iCs/>
            <w:color w:val="000000"/>
            <w:sz w:val="20"/>
            <w:szCs w:val="20"/>
          </w:rPr>
          <w:t>In re Zyprexa,</w:t>
        </w:r>
        <w:r>
          <w:rPr>
            <w:rFonts w:ascii="Times New Roman" w:hAnsi="Times New Roman" w:cs="Times New Roman"/>
            <w:color w:val="000000"/>
            <w:sz w:val="20"/>
            <w:szCs w:val="20"/>
          </w:rPr>
          <w:t xml:space="preserve"> 467 F.Supp.2d at 261;</w:t>
        </w:r>
      </w:hyperlink>
      <w:r>
        <w:rPr>
          <w:rFonts w:ascii="Times New Roman" w:hAnsi="Times New Roman" w:cs="Times New Roman"/>
          <w:color w:val="000000"/>
          <w:sz w:val="20"/>
          <w:szCs w:val="20"/>
        </w:rPr>
        <w:t xml:space="preserve"> </w:t>
      </w:r>
      <w:hyperlink r:id="rId142" w:history="1">
        <w:r>
          <w:rPr>
            <w:rFonts w:ascii="Times New Roman" w:hAnsi="Times New Roman" w:cs="Times New Roman"/>
            <w:i/>
            <w:iCs/>
            <w:color w:val="000000"/>
            <w:sz w:val="20"/>
            <w:szCs w:val="20"/>
          </w:rPr>
          <w:t>In re Zyprexa,</w:t>
        </w:r>
        <w:r>
          <w:rPr>
            <w:rFonts w:ascii="Times New Roman" w:hAnsi="Times New Roman" w:cs="Times New Roman"/>
            <w:color w:val="000000"/>
            <w:sz w:val="20"/>
            <w:szCs w:val="20"/>
          </w:rPr>
          <w:t xml:space="preserve"> MDL No. 1596, 2007 WL 2340790, at *1 (E.D.N.Y. Aug. 17, 2007)</w:t>
        </w:r>
      </w:hyperlink>
      <w:r>
        <w:rPr>
          <w:rFonts w:ascii="Times New Roman" w:hAnsi="Times New Roman" w:cs="Times New Roman"/>
          <w:color w:val="000000"/>
          <w:sz w:val="20"/>
          <w:szCs w:val="20"/>
        </w:rPr>
        <w:t>. The court in Zyprexa also capped contingent f</w:t>
      </w:r>
      <w:r>
        <w:rPr>
          <w:rFonts w:ascii="Times New Roman" w:hAnsi="Times New Roman" w:cs="Times New Roman"/>
          <w:color w:val="000000"/>
          <w:sz w:val="20"/>
          <w:szCs w:val="20"/>
        </w:rPr>
        <w:t xml:space="preserve">ees at 35% of amounts greater than $5,000. </w:t>
      </w:r>
      <w:hyperlink r:id="rId143" w:history="1">
        <w:r>
          <w:rPr>
            <w:rFonts w:ascii="Times New Roman" w:hAnsi="Times New Roman" w:cs="Times New Roman"/>
            <w:i/>
            <w:iCs/>
            <w:color w:val="000000"/>
            <w:sz w:val="20"/>
            <w:szCs w:val="20"/>
          </w:rPr>
          <w:t>In re Zyprexa,</w:t>
        </w:r>
        <w:r>
          <w:rPr>
            <w:rFonts w:ascii="Times New Roman" w:hAnsi="Times New Roman" w:cs="Times New Roman"/>
            <w:color w:val="000000"/>
            <w:sz w:val="20"/>
            <w:szCs w:val="20"/>
          </w:rPr>
          <w:t xml:space="preserve"> 424 F.Supp.2d 488 (E.D.N.Y.2006)</w:t>
        </w:r>
      </w:hyperlink>
      <w:r>
        <w:rPr>
          <w:rFonts w:ascii="Times New Roman" w:hAnsi="Times New Roman" w:cs="Times New Roman"/>
          <w:color w:val="000000"/>
          <w:sz w:val="20"/>
          <w:szCs w:val="20"/>
        </w:rPr>
        <w: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w:t>
      </w:r>
      <w:r>
        <w:rPr>
          <w:rFonts w:ascii="Times New Roman" w:hAnsi="Times New Roman" w:cs="Times New Roman"/>
          <w:i/>
          <w:iCs/>
          <w:color w:val="000000"/>
          <w:sz w:val="20"/>
          <w:szCs w:val="20"/>
        </w:rPr>
        <w:t>In re Guidant,</w:t>
      </w:r>
      <w:r>
        <w:rPr>
          <w:rFonts w:ascii="Times New Roman" w:hAnsi="Times New Roman" w:cs="Times New Roman"/>
          <w:color w:val="000000"/>
          <w:sz w:val="20"/>
          <w:szCs w:val="20"/>
        </w:rPr>
        <w:t xml:space="preserve"> the court awarded 14.375% of a global settlement amount as a common benefit award and initially capped individual contingent fees at 20%. </w:t>
      </w:r>
      <w:hyperlink r:id="rId144" w:history="1">
        <w:r>
          <w:rPr>
            <w:rFonts w:ascii="Times New Roman" w:hAnsi="Times New Roman" w:cs="Times New Roman"/>
            <w:i/>
            <w:iCs/>
            <w:color w:val="000000"/>
            <w:sz w:val="20"/>
            <w:szCs w:val="20"/>
          </w:rPr>
          <w:t>In</w:t>
        </w:r>
        <w:r>
          <w:rPr>
            <w:rFonts w:ascii="Times New Roman" w:hAnsi="Times New Roman" w:cs="Times New Roman"/>
            <w:i/>
            <w:iCs/>
            <w:color w:val="000000"/>
            <w:sz w:val="20"/>
            <w:szCs w:val="20"/>
          </w:rPr>
          <w:t xml:space="preserve"> re Guidant,</w:t>
        </w:r>
        <w:r>
          <w:rPr>
            <w:rFonts w:ascii="Times New Roman" w:hAnsi="Times New Roman" w:cs="Times New Roman"/>
            <w:color w:val="000000"/>
            <w:sz w:val="20"/>
            <w:szCs w:val="20"/>
          </w:rPr>
          <w:t xml:space="preserve"> 2008 WL 451076, at *1.</w:t>
        </w:r>
      </w:hyperlink>
      <w:r>
        <w:rPr>
          <w:rFonts w:ascii="Times New Roman" w:hAnsi="Times New Roman" w:cs="Times New Roman"/>
          <w:color w:val="000000"/>
          <w:sz w:val="20"/>
          <w:szCs w:val="20"/>
        </w:rPr>
        <w:t xml:space="preserve"> The court found that the parties had contracted around a previous 4% common benefit fee assessment by entering into a Master Settlement Agreement. </w:t>
      </w:r>
      <w:hyperlink r:id="rId145"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w:t>
        </w:r>
        <w:r>
          <w:rPr>
            <w:rFonts w:ascii="Times New Roman" w:hAnsi="Times New Roman" w:cs="Times New Roman"/>
            <w:color w:val="000000"/>
            <w:sz w:val="20"/>
            <w:szCs w:val="20"/>
          </w:rPr>
          <w:t>–</w:t>
        </w:r>
        <w:r>
          <w:rPr>
            <w:rFonts w:ascii="Times New Roman" w:hAnsi="Times New Roman" w:cs="Times New Roman"/>
            <w:color w:val="000000"/>
            <w:sz w:val="20"/>
            <w:szCs w:val="20"/>
          </w:rPr>
          <w:t>12.</w:t>
        </w:r>
      </w:hyperlink>
      <w:r>
        <w:rPr>
          <w:rFonts w:ascii="Times New Roman" w:hAnsi="Times New Roman" w:cs="Times New Roman"/>
          <w:color w:val="000000"/>
          <w:sz w:val="20"/>
          <w:szCs w:val="20"/>
        </w:rPr>
        <w:t xml:space="preserve"> In a subsequent reconsideration, the court capped the total attorney fees (including the share of the common benefit award plus individual contingent fees) at the lowest of 37.18%, or a lower contingent fee arrangement, or a state-imposed contingent</w:t>
      </w:r>
      <w:r>
        <w:rPr>
          <w:rFonts w:ascii="Times New Roman" w:hAnsi="Times New Roman" w:cs="Times New Roman"/>
          <w:color w:val="000000"/>
          <w:sz w:val="20"/>
          <w:szCs w:val="20"/>
        </w:rPr>
        <w:t xml:space="preserve"> fee limit. </w:t>
      </w:r>
      <w:hyperlink r:id="rId146" w:history="1">
        <w:r>
          <w:rPr>
            <w:rFonts w:ascii="Times New Roman" w:hAnsi="Times New Roman" w:cs="Times New Roman"/>
            <w:i/>
            <w:iCs/>
            <w:color w:val="000000"/>
            <w:sz w:val="20"/>
            <w:szCs w:val="20"/>
          </w:rPr>
          <w:t>In re Guidant Corp. Implantable Defibrillators Prods. Liab. Litig.,</w:t>
        </w:r>
        <w:r>
          <w:rPr>
            <w:rFonts w:ascii="Times New Roman" w:hAnsi="Times New Roman" w:cs="Times New Roman"/>
            <w:color w:val="000000"/>
            <w:sz w:val="20"/>
            <w:szCs w:val="20"/>
          </w:rPr>
          <w:t xml:space="preserve"> MDL No. 05</w:t>
        </w:r>
        <w:r>
          <w:rPr>
            <w:rFonts w:ascii="Times New Roman" w:hAnsi="Times New Roman" w:cs="Times New Roman"/>
            <w:color w:val="000000"/>
            <w:sz w:val="20"/>
            <w:szCs w:val="20"/>
          </w:rPr>
          <w:t>–</w:t>
        </w:r>
        <w:r>
          <w:rPr>
            <w:rFonts w:ascii="Times New Roman" w:hAnsi="Times New Roman" w:cs="Times New Roman"/>
            <w:color w:val="000000"/>
            <w:sz w:val="20"/>
            <w:szCs w:val="20"/>
          </w:rPr>
          <w:t>1708, 2008 WL 3896006, at *1 (D.Minn. Aug. 21, 2008)</w:t>
        </w:r>
      </w:hyperlink>
      <w:r>
        <w:rPr>
          <w:rFonts w:ascii="Times New Roman" w:hAnsi="Times New Roman" w:cs="Times New Roman"/>
          <w:color w:val="000000"/>
          <w:sz w:val="20"/>
          <w:szCs w:val="20"/>
        </w:rPr>
        <w: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Other MDL courts have also established funds for common benefit compensation by ordering set-aside ass</w:t>
      </w:r>
      <w:r>
        <w:rPr>
          <w:rFonts w:ascii="Times New Roman" w:hAnsi="Times New Roman" w:cs="Times New Roman"/>
          <w:color w:val="000000"/>
          <w:sz w:val="20"/>
          <w:szCs w:val="20"/>
        </w:rPr>
        <w:t xml:space="preserve">essments of individual plaintiff settlements and awarded fees from those funds. </w:t>
      </w:r>
      <w:r>
        <w:rPr>
          <w:rFonts w:ascii="Times New Roman" w:hAnsi="Times New Roman" w:cs="Times New Roman"/>
          <w:i/>
          <w:iCs/>
          <w:color w:val="000000"/>
          <w:sz w:val="20"/>
          <w:szCs w:val="20"/>
        </w:rPr>
        <w:t xml:space="preserve">E.g., </w:t>
      </w:r>
      <w:hyperlink r:id="rId147" w:history="1">
        <w:r>
          <w:rPr>
            <w:rFonts w:ascii="Times New Roman" w:hAnsi="Times New Roman" w:cs="Times New Roman"/>
            <w:i/>
            <w:iCs/>
            <w:color w:val="000000"/>
            <w:sz w:val="20"/>
            <w:szCs w:val="20"/>
          </w:rPr>
          <w:t>In re Diet Drugs (Phentermine, Fenfluramine, Dexfenfluramine) Prods. Liab. Litig.,</w:t>
        </w:r>
        <w:r>
          <w:rPr>
            <w:rFonts w:ascii="Times New Roman" w:hAnsi="Times New Roman" w:cs="Times New Roman"/>
            <w:color w:val="000000"/>
            <w:sz w:val="20"/>
            <w:szCs w:val="20"/>
          </w:rPr>
          <w:t xml:space="preserve"> 553 F.Supp.2d 442, 457</w:t>
        </w:r>
        <w:r>
          <w:rPr>
            <w:rFonts w:ascii="Times New Roman" w:hAnsi="Times New Roman" w:cs="Times New Roman"/>
            <w:color w:val="000000"/>
            <w:sz w:val="20"/>
            <w:szCs w:val="20"/>
          </w:rPr>
          <w:t>–</w:t>
        </w:r>
        <w:r>
          <w:rPr>
            <w:rFonts w:ascii="Times New Roman" w:hAnsi="Times New Roman" w:cs="Times New Roman"/>
            <w:color w:val="000000"/>
            <w:sz w:val="20"/>
            <w:szCs w:val="20"/>
          </w:rPr>
          <w:t>58, 491</w:t>
        </w:r>
        <w:r>
          <w:rPr>
            <w:rFonts w:ascii="Times New Roman" w:hAnsi="Times New Roman" w:cs="Times New Roman"/>
            <w:color w:val="000000"/>
            <w:sz w:val="20"/>
            <w:szCs w:val="20"/>
          </w:rPr>
          <w:t>–</w:t>
        </w:r>
        <w:r>
          <w:rPr>
            <w:rFonts w:ascii="Times New Roman" w:hAnsi="Times New Roman" w:cs="Times New Roman"/>
            <w:color w:val="000000"/>
            <w:sz w:val="20"/>
            <w:szCs w:val="20"/>
          </w:rPr>
          <w:t>96 (E.D.Pa.2008)</w:t>
        </w:r>
      </w:hyperlink>
      <w:r>
        <w:rPr>
          <w:rFonts w:ascii="Times New Roman" w:hAnsi="Times New Roman" w:cs="Times New Roman"/>
          <w:color w:val="000000"/>
          <w:sz w:val="20"/>
          <w:szCs w:val="20"/>
        </w:rPr>
        <w:t xml:space="preserve"> (describing 9% federal and 6% state assessments later reduced to 6% and 4%, respectively; </w:t>
      </w:r>
      <w:r>
        <w:rPr>
          <w:rFonts w:ascii="Times New Roman" w:hAnsi="Times New Roman" w:cs="Times New Roman"/>
          <w:color w:val="000000"/>
          <w:sz w:val="20"/>
          <w:szCs w:val="20"/>
        </w:rPr>
        <w:t xml:space="preserve">awarding less than total fund created by assessments); </w:t>
      </w:r>
      <w:hyperlink r:id="rId148" w:history="1">
        <w:r>
          <w:rPr>
            <w:rFonts w:ascii="Times New Roman" w:hAnsi="Times New Roman" w:cs="Times New Roman"/>
            <w:i/>
            <w:iCs/>
            <w:color w:val="000000"/>
            <w:sz w:val="20"/>
            <w:szCs w:val="20"/>
          </w:rPr>
          <w:t>In re Sulzer Hip Prosthesis &amp; Knee Prosthesis Liab. Litig.,</w:t>
        </w:r>
        <w:r>
          <w:rPr>
            <w:rFonts w:ascii="Times New Roman" w:hAnsi="Times New Roman" w:cs="Times New Roman"/>
            <w:color w:val="000000"/>
            <w:sz w:val="20"/>
            <w:szCs w:val="20"/>
          </w:rPr>
          <w:t xml:space="preserve"> 268 F.S</w:t>
        </w:r>
        <w:r>
          <w:rPr>
            <w:rFonts w:ascii="Times New Roman" w:hAnsi="Times New Roman" w:cs="Times New Roman"/>
            <w:color w:val="000000"/>
            <w:sz w:val="20"/>
            <w:szCs w:val="20"/>
          </w:rPr>
          <w:t>upp.2d 907, 909, 919 n. 19 (N.D.Ohio 2003)</w:t>
        </w:r>
      </w:hyperlink>
      <w:r>
        <w:rPr>
          <w:rFonts w:ascii="Times New Roman" w:hAnsi="Times New Roman" w:cs="Times New Roman"/>
          <w:color w:val="000000"/>
          <w:sz w:val="20"/>
          <w:szCs w:val="20"/>
        </w:rPr>
        <w:t xml:space="preserve"> (awarding common benefit fees out of $50,000,000 fund created through assessment representing 4.8% of settlement value); </w:t>
      </w:r>
      <w:hyperlink r:id="rId149" w:history="1">
        <w:r>
          <w:rPr>
            <w:rFonts w:ascii="Times New Roman" w:hAnsi="Times New Roman" w:cs="Times New Roman"/>
            <w:i/>
            <w:iCs/>
            <w:color w:val="000000"/>
            <w:sz w:val="20"/>
            <w:szCs w:val="20"/>
          </w:rPr>
          <w:t>In re Protegen Sling &amp; Vesica Sys. Prods. Liab. Litig,</w:t>
        </w:r>
        <w:r>
          <w:rPr>
            <w:rFonts w:ascii="Times New Roman" w:hAnsi="Times New Roman" w:cs="Times New Roman"/>
            <w:color w:val="000000"/>
            <w:sz w:val="20"/>
            <w:szCs w:val="20"/>
          </w:rPr>
          <w:t xml:space="preserve"> MDL No. 1387, 2002 WL 31834446</w:t>
        </w:r>
        <w:r>
          <w:rPr>
            <w:rFonts w:ascii="Times New Roman" w:hAnsi="Times New Roman" w:cs="Times New Roman"/>
            <w:color w:val="000000"/>
            <w:sz w:val="20"/>
            <w:szCs w:val="20"/>
          </w:rPr>
          <w:t>, at *1, *3 (D.Md. Apr. 12, 2002)</w:t>
        </w:r>
      </w:hyperlink>
      <w:r>
        <w:rPr>
          <w:rFonts w:ascii="Times New Roman" w:hAnsi="Times New Roman" w:cs="Times New Roman"/>
          <w:color w:val="000000"/>
          <w:sz w:val="20"/>
          <w:szCs w:val="20"/>
        </w:rPr>
        <w:t xml:space="preserve"> (9% federal, 6% coordinated state assessments); </w:t>
      </w:r>
      <w:hyperlink r:id="rId150" w:history="1">
        <w:r>
          <w:rPr>
            <w:rFonts w:ascii="Times New Roman" w:hAnsi="Times New Roman" w:cs="Times New Roman"/>
            <w:i/>
            <w:iCs/>
            <w:color w:val="000000"/>
            <w:sz w:val="20"/>
            <w:szCs w:val="20"/>
          </w:rPr>
          <w:t>In re Rezulin Prods. Liab. Litig.,</w:t>
        </w:r>
        <w:r>
          <w:rPr>
            <w:rFonts w:ascii="Times New Roman" w:hAnsi="Times New Roman" w:cs="Times New Roman"/>
            <w:color w:val="000000"/>
            <w:sz w:val="20"/>
            <w:szCs w:val="20"/>
          </w:rPr>
          <w:t xml:space="preserve"> MDL No. 1348, 2002 WL 441342, at *1 (S.D.N.Y. Mar. 20, 2002)</w:t>
        </w:r>
      </w:hyperlink>
      <w:r>
        <w:rPr>
          <w:rFonts w:ascii="Times New Roman" w:hAnsi="Times New Roman" w:cs="Times New Roman"/>
          <w:color w:val="000000"/>
          <w:sz w:val="20"/>
          <w:szCs w:val="20"/>
        </w:rPr>
        <w:t xml:space="preserve"> (6% withholding in federal cases, 4% in participating state cases); </w:t>
      </w:r>
      <w:hyperlink r:id="rId151" w:history="1">
        <w:r>
          <w:rPr>
            <w:rFonts w:ascii="Times New Roman" w:hAnsi="Times New Roman" w:cs="Times New Roman"/>
            <w:i/>
            <w:iCs/>
            <w:color w:val="000000"/>
            <w:sz w:val="20"/>
            <w:szCs w:val="20"/>
          </w:rPr>
          <w:t>In re Orthopedic Bone Screw Prods. Liab. Litig.,</w:t>
        </w:r>
        <w:r>
          <w:rPr>
            <w:rFonts w:ascii="Times New Roman" w:hAnsi="Times New Roman" w:cs="Times New Roman"/>
            <w:color w:val="000000"/>
            <w:sz w:val="20"/>
            <w:szCs w:val="20"/>
          </w:rPr>
          <w:t xml:space="preserve"> MDL No. 1014, 2000 WL 1622741 (E.D.Pa. Oct. 23, 2000)</w:t>
        </w:r>
      </w:hyperlink>
      <w:r>
        <w:rPr>
          <w:rFonts w:ascii="Times New Roman" w:hAnsi="Times New Roman" w:cs="Times New Roman"/>
          <w:color w:val="000000"/>
          <w:sz w:val="20"/>
          <w:szCs w:val="20"/>
        </w:rPr>
        <w:t xml:space="preserve"> (awarding full 12% of withheld fees);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Rubenstein,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at 87 (2009) (collecting cases and concluding that most common benefit assessments ra</w:t>
      </w:r>
      <w:r>
        <w:rPr>
          <w:rFonts w:ascii="Times New Roman" w:hAnsi="Times New Roman" w:cs="Times New Roman"/>
          <w:color w:val="000000"/>
          <w:sz w:val="20"/>
          <w:szCs w:val="20"/>
        </w:rPr>
        <w:t xml:space="preserve">nge from 4% to 6%); </w:t>
      </w:r>
      <w:hyperlink r:id="rId152" w:history="1">
        <w:r>
          <w:rPr>
            <w:rFonts w:ascii="Times New Roman" w:hAnsi="Times New Roman" w:cs="Times New Roman"/>
            <w:color w:val="000000"/>
            <w:sz w:val="20"/>
            <w:szCs w:val="20"/>
          </w:rPr>
          <w:t xml:space="preserve">4 Alba Conte &amp; Herbert B. Newberg, </w:t>
        </w:r>
        <w:r>
          <w:rPr>
            <w:rFonts w:ascii="Times New Roman" w:hAnsi="Times New Roman" w:cs="Times New Roman"/>
            <w:i/>
            <w:iCs/>
            <w:color w:val="000000"/>
            <w:sz w:val="20"/>
            <w:szCs w:val="20"/>
          </w:rPr>
          <w:t>Newberg on Class Actions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14:9 (4th ed. 2002)</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Most [MDL] courts have assessed common benefit fees at about a 4</w:t>
      </w:r>
      <w:r>
        <w:rPr>
          <w:rFonts w:ascii="Times New Roman" w:hAnsi="Times New Roman" w:cs="Times New Roman"/>
          <w:color w:val="000000"/>
          <w:sz w:val="20"/>
          <w:szCs w:val="20"/>
        </w:rPr>
        <w:t>–</w:t>
      </w:r>
      <w:r>
        <w:rPr>
          <w:rFonts w:ascii="Times New Roman" w:hAnsi="Times New Roman" w:cs="Times New Roman"/>
          <w:color w:val="000000"/>
          <w:sz w:val="20"/>
          <w:szCs w:val="20"/>
        </w:rPr>
        <w:t>6% level, generally 4% for a fee and 2% for costs.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Paul D. Rheingold, </w:t>
      </w:r>
      <w:r>
        <w:rPr>
          <w:rFonts w:ascii="Times New Roman" w:hAnsi="Times New Roman" w:cs="Times New Roman"/>
          <w:i/>
          <w:iCs/>
          <w:color w:val="000000"/>
          <w:sz w:val="20"/>
          <w:szCs w:val="20"/>
        </w:rPr>
        <w:t>Litigat</w:t>
      </w:r>
      <w:r>
        <w:rPr>
          <w:rFonts w:ascii="Times New Roman" w:hAnsi="Times New Roman" w:cs="Times New Roman"/>
          <w:i/>
          <w:iCs/>
          <w:color w:val="000000"/>
          <w:sz w:val="20"/>
          <w:szCs w:val="20"/>
        </w:rPr>
        <w:t>ing Mass Tort Cases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7:35 (2010) (</w:t>
      </w:r>
      <w:r>
        <w:rPr>
          <w:rFonts w:ascii="Times New Roman" w:hAnsi="Times New Roman" w:cs="Times New Roman"/>
          <w:color w:val="000000"/>
          <w:sz w:val="20"/>
          <w:szCs w:val="20"/>
        </w:rPr>
        <w:t>“</w:t>
      </w:r>
      <w:r>
        <w:rPr>
          <w:rFonts w:ascii="Times New Roman" w:hAnsi="Times New Roman" w:cs="Times New Roman"/>
          <w:color w:val="000000"/>
          <w:sz w:val="20"/>
          <w:szCs w:val="20"/>
        </w:rPr>
        <w:t>[P]ercentages awarded for common funds in recent MDLS ... were in the 4</w:t>
      </w:r>
      <w:r>
        <w:rPr>
          <w:rFonts w:ascii="Times New Roman" w:hAnsi="Times New Roman" w:cs="Times New Roman"/>
          <w:color w:val="000000"/>
          <w:sz w:val="20"/>
          <w:szCs w:val="20"/>
        </w:rPr>
        <w:t>–</w:t>
      </w:r>
      <w:r>
        <w:rPr>
          <w:rFonts w:ascii="Times New Roman" w:hAnsi="Times New Roman" w:cs="Times New Roman"/>
          <w:color w:val="000000"/>
          <w:sz w:val="20"/>
          <w:szCs w:val="20"/>
        </w:rPr>
        <w:t>6% range.</w:t>
      </w:r>
      <w:r>
        <w:rPr>
          <w:rFonts w:ascii="Times New Roman" w:hAnsi="Times New Roman" w:cs="Times New Roman"/>
          <w:color w:val="000000"/>
          <w:sz w:val="20"/>
          <w:szCs w:val="20"/>
        </w:rPr>
        <w:t>”</w:t>
      </w:r>
      <w:r>
        <w:rPr>
          <w:rFonts w:ascii="Times New Roman" w:hAnsi="Times New Roman" w:cs="Times New Roman"/>
          <w:color w:val="000000"/>
          <w:sz w:val="20"/>
          <w:szCs w:val="20"/>
        </w:rPr>
        <w:t>) (citation omitted).</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These examples demonstrate that a reasonable common benefit assessment or </w:t>
      </w:r>
      <w:bookmarkStart w:id="70" w:name="co_pp_sp_4637_655_1"/>
      <w:bookmarkEnd w:id="70"/>
      <w:r>
        <w:rPr>
          <w:rFonts w:ascii="Times New Roman" w:hAnsi="Times New Roman" w:cs="Times New Roman"/>
          <w:b/>
          <w:bCs/>
          <w:color w:val="000000"/>
          <w:sz w:val="20"/>
          <w:szCs w:val="20"/>
        </w:rPr>
        <w:t>*6</w:t>
      </w:r>
      <w:r>
        <w:rPr>
          <w:rFonts w:ascii="Times New Roman" w:hAnsi="Times New Roman" w:cs="Times New Roman"/>
          <w:b/>
          <w:bCs/>
          <w:color w:val="000000"/>
          <w:sz w:val="20"/>
          <w:szCs w:val="20"/>
        </w:rPr>
        <w:t>55</w:t>
      </w:r>
      <w:r>
        <w:rPr>
          <w:rFonts w:ascii="Times New Roman" w:hAnsi="Times New Roman" w:cs="Times New Roman"/>
          <w:color w:val="000000"/>
          <w:sz w:val="20"/>
          <w:szCs w:val="20"/>
        </w:rPr>
        <w:t xml:space="preserve"> award can vary from MDL to MDL and that there is no mathematical formula for deriving a </w:t>
      </w:r>
      <w:r>
        <w:rPr>
          <w:rFonts w:ascii="Times New Roman" w:hAnsi="Times New Roman" w:cs="Times New Roman"/>
          <w:color w:val="000000"/>
          <w:sz w:val="20"/>
          <w:szCs w:val="20"/>
        </w:rPr>
        <w:t>“</w:t>
      </w:r>
      <w:r>
        <w:rPr>
          <w:rFonts w:ascii="Times New Roman" w:hAnsi="Times New Roman" w:cs="Times New Roman"/>
          <w:color w:val="000000"/>
          <w:sz w:val="20"/>
          <w:szCs w:val="20"/>
        </w:rPr>
        <w:t>correct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amount. Indeed, the Court notes that the PLC initially requested a common benefit award of 8% and contended such an amount would be presumptively reasonabl</w:t>
      </w:r>
      <w:r>
        <w:rPr>
          <w:rFonts w:ascii="Times New Roman" w:hAnsi="Times New Roman" w:cs="Times New Roman"/>
          <w:color w:val="000000"/>
          <w:sz w:val="20"/>
          <w:szCs w:val="20"/>
        </w:rPr>
        <w:t>e. A year and a half later, after Objector’s Liaison Counsel had an opportunity for discovery, the PLC reduced its common benefit award request to 7.5%. If 8% was presumptively reasonable but the PLC nonetheless voluntarily reduced the request to 7.5%, the</w:t>
      </w:r>
      <w:r>
        <w:rPr>
          <w:rFonts w:ascii="Times New Roman" w:hAnsi="Times New Roman" w:cs="Times New Roman"/>
          <w:color w:val="000000"/>
          <w:sz w:val="20"/>
          <w:szCs w:val="20"/>
        </w:rPr>
        <w:t xml:space="preserve"> Court is led to conclude that even the PLC believes that a reasonable benchmark percentage is a flexible concept. With that this Court agrees.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In light of the foregoing, and guided by this Court’</w:t>
      </w:r>
      <w:r>
        <w:rPr>
          <w:rFonts w:ascii="Times New Roman" w:hAnsi="Times New Roman" w:cs="Times New Roman"/>
          <w:color w:val="000000"/>
          <w:sz w:val="20"/>
          <w:szCs w:val="20"/>
        </w:rPr>
        <w:t>s observations over the last five years of the nature and scope of the work and effort of those attorneys who performed common benefit work, the Court finds that 6% of the settlement amount is a reasonable benchmark percentage for a common benefit fee awar</w:t>
      </w:r>
      <w:r>
        <w:rPr>
          <w:rFonts w:ascii="Times New Roman" w:hAnsi="Times New Roman" w:cs="Times New Roman"/>
          <w:color w:val="000000"/>
          <w:sz w:val="20"/>
          <w:szCs w:val="20"/>
        </w:rPr>
        <w:t xml:space="preserve">d. This figure represents about 20% of the total attorneys’ fees. This figure is within the range of MDL awards and assessments described above. No part of this 6% will come from the recovery of any </w:t>
      </w:r>
      <w:hyperlink r:id="rId153"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claimant; rather, it will be assessed against the contingent fee recoveries of </w:t>
      </w:r>
      <w:r>
        <w:rPr>
          <w:rFonts w:ascii="Times New Roman" w:hAnsi="Times New Roman" w:cs="Times New Roman"/>
          <w:color w:val="000000"/>
          <w:sz w:val="20"/>
          <w:szCs w:val="20"/>
        </w:rPr>
        <w:lastRenderedPageBreak/>
        <w:t xml:space="preserve">all </w:t>
      </w:r>
      <w:hyperlink r:id="rId154"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primary plaintiffs’ attorneys. Fur</w:t>
      </w:r>
      <w:r>
        <w:rPr>
          <w:rFonts w:ascii="Times New Roman" w:hAnsi="Times New Roman" w:cs="Times New Roman"/>
          <w:color w:val="000000"/>
          <w:sz w:val="20"/>
          <w:szCs w:val="20"/>
        </w:rPr>
        <w:t xml:space="preserve">thermore, in recommending the Settlement Agreement to their clients and participating in the Settlement Program, all </w:t>
      </w:r>
      <w:hyperlink r:id="rId155"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primary plaintiffs’ attorneys consented to a common benefit assessment of up to 8%. Accordingly, an assessment of 6% is clearly acceptable to them. It is now appropriate</w:t>
      </w:r>
      <w:r>
        <w:rPr>
          <w:rFonts w:ascii="Times New Roman" w:hAnsi="Times New Roman" w:cs="Times New Roman"/>
          <w:color w:val="000000"/>
          <w:sz w:val="20"/>
          <w:szCs w:val="20"/>
        </w:rPr>
        <w:t xml:space="preserve"> to test this percentage in the crucible of the </w:t>
      </w:r>
      <w:hyperlink r:id="rId156"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factors to determine whether an adjustment, upwards or downwards, is in order.</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71" w:name="co_anchor_I95b00dd69b6911e38578f7ccc38dc"/>
      <w:bookmarkEnd w:id="71"/>
    </w:p>
    <w:p w:rsidR="00000000" w:rsidRDefault="001C0C97">
      <w:pPr>
        <w:widowControl w:val="0"/>
        <w:autoSpaceDE w:val="0"/>
        <w:autoSpaceDN w:val="0"/>
        <w:adjustRightInd w:val="0"/>
        <w:spacing w:before="400" w:after="20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 Consideration of the</w:t>
      </w:r>
      <w:r>
        <w:rPr>
          <w:rFonts w:ascii="Times New Roman" w:hAnsi="Times New Roman" w:cs="Times New Roman"/>
          <w:b/>
          <w:bCs/>
          <w:color w:val="000000"/>
          <w:sz w:val="20"/>
          <w:szCs w:val="20"/>
        </w:rPr>
        <w:t xml:space="preserve"> Johnson </w:t>
      </w:r>
      <w:r>
        <w:rPr>
          <w:rFonts w:ascii="Times New Roman" w:hAnsi="Times New Roman" w:cs="Times New Roman"/>
          <w:b/>
          <w:bCs/>
          <w:i/>
          <w:iCs/>
          <w:color w:val="000000"/>
          <w:sz w:val="20"/>
          <w:szCs w:val="20"/>
        </w:rPr>
        <w:t>Factors</w:t>
      </w:r>
    </w:p>
    <w:p w:rsidR="00000000" w:rsidRDefault="001C0C97">
      <w:pPr>
        <w:widowControl w:val="0"/>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20"/>
          <w:szCs w:val="20"/>
        </w:rPr>
        <w:t>The Co</w:t>
      </w:r>
      <w:r>
        <w:rPr>
          <w:rFonts w:ascii="Times New Roman" w:hAnsi="Times New Roman" w:cs="Times New Roman"/>
          <w:color w:val="000000"/>
          <w:sz w:val="20"/>
          <w:szCs w:val="20"/>
        </w:rPr>
        <w:t xml:space="preserve">urt will now consider the </w:t>
      </w:r>
      <w:hyperlink r:id="rId157"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factors, addressing them in conjunction with the circumstances of this case.</w:t>
      </w:r>
      <w:bookmarkStart w:id="72" w:name="co_footnoteReference_B019192024375594_ID"/>
      <w:bookmarkEnd w:id="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"#co_footnote_B019192024375594_1"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19</w:t>
      </w:r>
      <w:r>
        <w:rPr>
          <w:rFonts w:ascii="Times New Roman" w:hAnsi="Times New Roman" w:cs="Times New Roman"/>
          <w:color w:val="000000"/>
          <w:sz w:val="16"/>
          <w:szCs w:val="16"/>
        </w:rPr>
        <w:fldChar w:fldCharType="end"/>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73" w:name="co_footnote_B019192024375594_1"/>
          <w:bookmarkEnd w:id="73"/>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"#co_footnoteReference_B019192024375594_ID"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19</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The Fifth Circuit advises that it does </w:t>
            </w:r>
            <w:r>
              <w:rPr>
                <w:rFonts w:ascii="Times New Roman" w:hAnsi="Times New Roman" w:cs="Times New Roman"/>
                <w:color w:val="000000"/>
                <w:sz w:val="18"/>
                <w:szCs w:val="18"/>
              </w:rPr>
              <w:t>“</w:t>
            </w:r>
            <w:r>
              <w:rPr>
                <w:rFonts w:ascii="Times New Roman" w:hAnsi="Times New Roman" w:cs="Times New Roman"/>
                <w:color w:val="000000"/>
                <w:sz w:val="18"/>
                <w:szCs w:val="18"/>
              </w:rPr>
              <w:t>not require the trial court’s findings to be so excruciatingly explicit in this area of minutia</w:t>
            </w:r>
            <w:r>
              <w:rPr>
                <w:rFonts w:ascii="Times New Roman" w:hAnsi="Times New Roman" w:cs="Times New Roman"/>
                <w:color w:val="000000"/>
                <w:sz w:val="18"/>
                <w:szCs w:val="18"/>
              </w:rPr>
              <w:t>e that decisions of fee awards consume more paper than did the cases from which they arose.</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hyperlink r:id="rId158" w:history="1">
              <w:r>
                <w:rPr>
                  <w:rFonts w:ascii="Times New Roman" w:hAnsi="Times New Roman" w:cs="Times New Roman"/>
                  <w:i/>
                  <w:iCs/>
                  <w:color w:val="000000"/>
                  <w:sz w:val="18"/>
                  <w:szCs w:val="18"/>
                </w:rPr>
                <w:t>In re High Sulfur Content Gasoline Prods. Liab. Litig.,</w:t>
              </w:r>
              <w:r>
                <w:rPr>
                  <w:rFonts w:ascii="Times New Roman" w:hAnsi="Times New Roman" w:cs="Times New Roman"/>
                  <w:color w:val="000000"/>
                  <w:sz w:val="18"/>
                  <w:szCs w:val="18"/>
                </w:rPr>
                <w:t xml:space="preserve"> 517 F.3d 220, 228</w:t>
              </w:r>
              <w:r>
                <w:rPr>
                  <w:rFonts w:ascii="Times New Roman" w:hAnsi="Times New Roman" w:cs="Times New Roman"/>
                  <w:color w:val="000000"/>
                  <w:sz w:val="18"/>
                  <w:szCs w:val="18"/>
                </w:rPr>
                <w:t>–</w:t>
              </w:r>
              <w:r>
                <w:rPr>
                  <w:rFonts w:ascii="Times New Roman" w:hAnsi="Times New Roman" w:cs="Times New Roman"/>
                  <w:color w:val="000000"/>
                  <w:sz w:val="18"/>
                  <w:szCs w:val="18"/>
                </w:rPr>
                <w:t>29 (5th Cir.2008)</w:t>
              </w:r>
            </w:hyperlink>
            <w:r>
              <w:rPr>
                <w:rFonts w:ascii="Times New Roman" w:hAnsi="Times New Roman" w:cs="Times New Roman"/>
                <w:color w:val="000000"/>
                <w:sz w:val="18"/>
                <w:szCs w:val="18"/>
              </w:rPr>
              <w:t xml:space="preserve"> (quoting </w:t>
            </w:r>
            <w:hyperlink r:id="rId159" w:history="1">
              <w:r>
                <w:rPr>
                  <w:rFonts w:ascii="Times New Roman" w:hAnsi="Times New Roman" w:cs="Times New Roman"/>
                  <w:i/>
                  <w:iCs/>
                  <w:color w:val="000000"/>
                  <w:sz w:val="18"/>
                  <w:szCs w:val="18"/>
                </w:rPr>
                <w:t>La. Power &amp; Light Co. v. Kellstrom,</w:t>
              </w:r>
              <w:r>
                <w:rPr>
                  <w:rFonts w:ascii="Times New Roman" w:hAnsi="Times New Roman" w:cs="Times New Roman"/>
                  <w:color w:val="000000"/>
                  <w:sz w:val="18"/>
                  <w:szCs w:val="18"/>
                </w:rPr>
                <w:t xml:space="preserve"> 50 F.3d 319, 331 (5th Cir.1995)</w:t>
              </w:r>
            </w:hyperlink>
            <w:r>
              <w:rPr>
                <w:rFonts w:ascii="Times New Roman" w:hAnsi="Times New Roman" w:cs="Times New Roman"/>
                <w:color w:val="000000"/>
                <w:sz w:val="18"/>
                <w:szCs w:val="18"/>
              </w:rPr>
              <w:t>). The Court shall attempt to comply with this guidance.</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74" w:name="co_anchor_I95b00dd79b6911e38578f7ccc38dc"/>
      <w:bookmarkEnd w:id="74"/>
    </w:p>
    <w:p w:rsidR="00000000" w:rsidRDefault="001C0C97">
      <w:pPr>
        <w:widowControl w:val="0"/>
        <w:autoSpaceDE w:val="0"/>
        <w:autoSpaceDN w:val="0"/>
        <w:adjustRightInd w:val="0"/>
        <w:spacing w:before="400" w:after="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 The Time and Labor Require</w:t>
      </w:r>
      <w:r>
        <w:rPr>
          <w:rFonts w:ascii="Times New Roman" w:hAnsi="Times New Roman" w:cs="Times New Roman"/>
          <w:b/>
          <w:bCs/>
          <w:color w:val="000000"/>
          <w:sz w:val="20"/>
          <w:szCs w:val="20"/>
        </w:rPr>
        <w:t>d; Time Limitations Imposed by the Client or the Circumstances; The Preclusion of Other Employment by the Attorney Due to Acceptance of the Case</w:t>
      </w:r>
    </w:p>
    <w:p w:rsidR="00000000" w:rsidRDefault="001C0C97">
      <w:pPr>
        <w:widowControl w:val="0"/>
        <w:autoSpaceDE w:val="0"/>
        <w:autoSpaceDN w:val="0"/>
        <w:adjustRightInd w:val="0"/>
        <w:jc w:val="both"/>
        <w:rPr>
          <w:rFonts w:ascii="Times New Roman" w:hAnsi="Times New Roman" w:cs="Times New Roman"/>
          <w:color w:val="000000"/>
          <w:sz w:val="20"/>
          <w:szCs w:val="20"/>
        </w:rPr>
      </w:pPr>
      <w:hyperlink r:id="rId160" w:history="1">
        <w:r>
          <w:rPr>
            <w:rFonts w:ascii="Times New Roman" w:hAnsi="Times New Roman" w:cs="Times New Roman"/>
            <w:b/>
            <w:bCs/>
            <w:color w:val="000000"/>
            <w:sz w:val="20"/>
            <w:szCs w:val="20"/>
            <w:vertAlign w:val="superscript"/>
          </w:rPr>
          <w:t>[6]</w:t>
        </w:r>
      </w:hyperlink>
      <w:bookmarkStart w:id="75" w:name="co_anchor_B62024375594_1"/>
      <w:bookmarkEnd w:id="75"/>
      <w:r>
        <w:rPr>
          <w:rFonts w:ascii="Times New Roman" w:hAnsi="Times New Roman" w:cs="Times New Roman"/>
          <w:color w:val="000000"/>
          <w:sz w:val="20"/>
          <w:szCs w:val="20"/>
        </w:rPr>
        <w:t xml:space="preserve"> Throughout the </w:t>
      </w:r>
      <w:hyperlink r:id="rId161"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litigation, the Court has repeatedly expressed its intent and desire to see an expedited resolution. Indeed, all interested parties, including the PSC and Merck, have recognized that prompt resolution would be invaluable to those impacted by </w:t>
      </w:r>
      <w:hyperlink r:id="rId162"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The Herculean effort expended by the PSC a</w:t>
      </w:r>
      <w:r>
        <w:rPr>
          <w:rFonts w:ascii="Times New Roman" w:hAnsi="Times New Roman" w:cs="Times New Roman"/>
          <w:color w:val="000000"/>
          <w:sz w:val="20"/>
          <w:szCs w:val="20"/>
        </w:rPr>
        <w:t>nd other counsel performing common benefit work in realizing that goal can hardly be understated. They have documented and submitted over 560,000 hours of work during the course of this litigation. As a matter of fact this Court finds that this is a realis</w:t>
      </w:r>
      <w:r>
        <w:rPr>
          <w:rFonts w:ascii="Times New Roman" w:hAnsi="Times New Roman" w:cs="Times New Roman"/>
          <w:color w:val="000000"/>
          <w:sz w:val="20"/>
          <w:szCs w:val="20"/>
        </w:rPr>
        <w:t>tic and fair assessment of the work required to bring about the achieved result.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Counsel met and exceeded this Court’s desire for </w:t>
      </w:r>
      <w:r>
        <w:rPr>
          <w:rFonts w:ascii="Times New Roman" w:hAnsi="Times New Roman" w:cs="Times New Roman"/>
          <w:color w:val="000000"/>
          <w:sz w:val="20"/>
          <w:szCs w:val="20"/>
        </w:rPr>
        <w:t>expedited resolution of this matter. Following the formal appointment of the PLC and the PSC, the attorneys committed to int</w:t>
      </w:r>
      <w:r>
        <w:rPr>
          <w:rFonts w:ascii="Times New Roman" w:hAnsi="Times New Roman" w:cs="Times New Roman"/>
          <w:color w:val="000000"/>
          <w:sz w:val="20"/>
          <w:szCs w:val="20"/>
        </w:rPr>
        <w:t xml:space="preserve">ensive discovery and pretrial efforts. The PSC operated on many fronts, preparing pleadings and Master Class Action complaints, taking over 2,000 </w:t>
      </w:r>
      <w:bookmarkStart w:id="76" w:name="co_pp_sp_4637_656_1"/>
      <w:bookmarkEnd w:id="76"/>
      <w:r>
        <w:rPr>
          <w:rFonts w:ascii="Times New Roman" w:hAnsi="Times New Roman" w:cs="Times New Roman"/>
          <w:b/>
          <w:bCs/>
          <w:color w:val="000000"/>
          <w:sz w:val="20"/>
          <w:szCs w:val="20"/>
        </w:rPr>
        <w:t>*656</w:t>
      </w:r>
      <w:r>
        <w:rPr>
          <w:rFonts w:ascii="Times New Roman" w:hAnsi="Times New Roman" w:cs="Times New Roman"/>
          <w:color w:val="000000"/>
          <w:sz w:val="20"/>
          <w:szCs w:val="20"/>
        </w:rPr>
        <w:t xml:space="preserve"> depositions, reviewing and compiling over 50,000,000 documents, bri</w:t>
      </w:r>
      <w:r>
        <w:rPr>
          <w:rFonts w:ascii="Times New Roman" w:hAnsi="Times New Roman" w:cs="Times New Roman"/>
          <w:color w:val="000000"/>
          <w:sz w:val="20"/>
          <w:szCs w:val="20"/>
        </w:rPr>
        <w:t>efing and arguing over 1,000 discovery motions, assembling a trial package, conducting bellwether trials, negotiating the global Settlement Agreement, and implementing the payout under the Agreement. The time and labor expended in this effort is impressive</w:t>
      </w:r>
      <w:r>
        <w:rPr>
          <w:rFonts w:ascii="Times New Roman" w:hAnsi="Times New Roman" w:cs="Times New Roman"/>
          <w:color w:val="000000"/>
          <w:sz w:val="20"/>
          <w:szCs w:val="20"/>
        </w:rPr>
        <w: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hyperlink r:id="rId163"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court explained that the </w:t>
      </w:r>
      <w:r>
        <w:rPr>
          <w:rFonts w:ascii="Times New Roman" w:hAnsi="Times New Roman" w:cs="Times New Roman"/>
          <w:color w:val="000000"/>
          <w:sz w:val="20"/>
          <w:szCs w:val="20"/>
        </w:rPr>
        <w:t>“</w:t>
      </w:r>
      <w:r>
        <w:rPr>
          <w:rFonts w:ascii="Times New Roman" w:hAnsi="Times New Roman" w:cs="Times New Roman"/>
          <w:color w:val="000000"/>
          <w:sz w:val="20"/>
          <w:szCs w:val="20"/>
        </w:rPr>
        <w:t>time limitations factor imposed by the client or the circumstances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factor is intended to address </w:t>
      </w:r>
      <w:r>
        <w:rPr>
          <w:rFonts w:ascii="Times New Roman" w:hAnsi="Times New Roman" w:cs="Times New Roman"/>
          <w:color w:val="000000"/>
          <w:sz w:val="20"/>
          <w:szCs w:val="20"/>
        </w:rPr>
        <w:t>“</w:t>
      </w:r>
      <w:r>
        <w:rPr>
          <w:rFonts w:ascii="Times New Roman" w:hAnsi="Times New Roman" w:cs="Times New Roman"/>
          <w:color w:val="000000"/>
          <w:sz w:val="20"/>
          <w:szCs w:val="20"/>
        </w:rPr>
        <w:t>[p]riority work that delays the lawyer’s other legal work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the situation in which </w:t>
      </w:r>
      <w:r>
        <w:rPr>
          <w:rFonts w:ascii="Times New Roman" w:hAnsi="Times New Roman" w:cs="Times New Roman"/>
          <w:color w:val="000000"/>
          <w:sz w:val="20"/>
          <w:szCs w:val="20"/>
        </w:rPr>
        <w:t>“</w:t>
      </w:r>
      <w:r>
        <w:rPr>
          <w:rFonts w:ascii="Times New Roman" w:hAnsi="Times New Roman" w:cs="Times New Roman"/>
          <w:color w:val="000000"/>
          <w:sz w:val="20"/>
          <w:szCs w:val="20"/>
        </w:rPr>
        <w:t>a new counsel is called in to pros</w:t>
      </w:r>
      <w:r>
        <w:rPr>
          <w:rFonts w:ascii="Times New Roman" w:hAnsi="Times New Roman" w:cs="Times New Roman"/>
          <w:color w:val="000000"/>
          <w:sz w:val="20"/>
          <w:szCs w:val="20"/>
        </w:rPr>
        <w:t>ecute the appeal or handle other matters at a late stage in the proceedings.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64" w:history="1">
        <w:r>
          <w:rPr>
            <w:rFonts w:ascii="Times New Roman" w:hAnsi="Times New Roman" w:cs="Times New Roman"/>
            <w:i/>
            <w:iCs/>
            <w:color w:val="000000"/>
            <w:sz w:val="20"/>
            <w:szCs w:val="20"/>
          </w:rPr>
          <w:t>Johnson,</w:t>
        </w:r>
        <w:r>
          <w:rPr>
            <w:rFonts w:ascii="Times New Roman" w:hAnsi="Times New Roman" w:cs="Times New Roman"/>
            <w:color w:val="000000"/>
            <w:sz w:val="20"/>
            <w:szCs w:val="20"/>
          </w:rPr>
          <w:t xml:space="preserve"> 488 F.2d at 718.</w:t>
        </w:r>
      </w:hyperlink>
      <w:r>
        <w:rPr>
          <w:rFonts w:ascii="Times New Roman" w:hAnsi="Times New Roman" w:cs="Times New Roman"/>
          <w:color w:val="000000"/>
          <w:sz w:val="20"/>
          <w:szCs w:val="20"/>
        </w:rPr>
        <w:t xml:space="preserve"> This factor encompasses the same considerations discussed in connection with the </w:t>
      </w:r>
      <w:r>
        <w:rPr>
          <w:rFonts w:ascii="Times New Roman" w:hAnsi="Times New Roman" w:cs="Times New Roman"/>
          <w:color w:val="000000"/>
          <w:sz w:val="20"/>
          <w:szCs w:val="20"/>
        </w:rPr>
        <w:t>“</w:t>
      </w:r>
      <w:r>
        <w:rPr>
          <w:rFonts w:ascii="Times New Roman" w:hAnsi="Times New Roman" w:cs="Times New Roman"/>
          <w:color w:val="000000"/>
          <w:sz w:val="20"/>
          <w:szCs w:val="20"/>
        </w:rPr>
        <w:t>time and labor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factor. Likewi</w:t>
      </w:r>
      <w:r>
        <w:rPr>
          <w:rFonts w:ascii="Times New Roman" w:hAnsi="Times New Roman" w:cs="Times New Roman"/>
          <w:color w:val="000000"/>
          <w:sz w:val="20"/>
          <w:szCs w:val="20"/>
        </w:rPr>
        <w:t xml:space="preserve">se, the </w:t>
      </w:r>
      <w:r>
        <w:rPr>
          <w:rFonts w:ascii="Times New Roman" w:hAnsi="Times New Roman" w:cs="Times New Roman"/>
          <w:color w:val="000000"/>
          <w:sz w:val="20"/>
          <w:szCs w:val="20"/>
        </w:rPr>
        <w:t>“</w:t>
      </w:r>
      <w:r>
        <w:rPr>
          <w:rFonts w:ascii="Times New Roman" w:hAnsi="Times New Roman" w:cs="Times New Roman"/>
          <w:color w:val="000000"/>
          <w:sz w:val="20"/>
          <w:szCs w:val="20"/>
        </w:rPr>
        <w:t>time and labor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preclusion of other employment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factors appear to the Court to overlap. Collectively, these three factors require the Court to give appropriate credit to the intensive and sustained efforts of common benefit counsel to bring t</w:t>
      </w:r>
      <w:r>
        <w:rPr>
          <w:rFonts w:ascii="Times New Roman" w:hAnsi="Times New Roman" w:cs="Times New Roman"/>
          <w:color w:val="000000"/>
          <w:sz w:val="20"/>
          <w:szCs w:val="20"/>
        </w:rPr>
        <w:t xml:space="preserve">his litigation to a timely resolution. Bellwether trials began within a year of the MDL designation. Settlement was achieved within three years, interim payments began within a year of the settlement agreement, and final resolution of nearly 50,000 claims </w:t>
      </w:r>
      <w:r>
        <w:rPr>
          <w:rFonts w:ascii="Times New Roman" w:hAnsi="Times New Roman" w:cs="Times New Roman"/>
          <w:color w:val="000000"/>
          <w:sz w:val="20"/>
          <w:szCs w:val="20"/>
        </w:rPr>
        <w:t xml:space="preserve">was made between one and two years thereafter. The </w:t>
      </w:r>
      <w:r>
        <w:rPr>
          <w:rFonts w:ascii="Times New Roman" w:hAnsi="Times New Roman" w:cs="Times New Roman"/>
          <w:color w:val="000000"/>
          <w:sz w:val="20"/>
          <w:szCs w:val="20"/>
        </w:rPr>
        <w:t>“</w:t>
      </w:r>
      <w:r>
        <w:rPr>
          <w:rFonts w:ascii="Times New Roman" w:hAnsi="Times New Roman" w:cs="Times New Roman"/>
          <w:color w:val="000000"/>
          <w:sz w:val="20"/>
          <w:szCs w:val="20"/>
        </w:rPr>
        <w:t>time and labor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factor warrants a moderate upward variance.</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77" w:name="co_anchor_I95b00dd89b6911e38578f7ccc38dc"/>
      <w:bookmarkEnd w:id="77"/>
    </w:p>
    <w:p w:rsidR="00000000" w:rsidRDefault="001C0C97">
      <w:pPr>
        <w:widowControl w:val="0"/>
        <w:autoSpaceDE w:val="0"/>
        <w:autoSpaceDN w:val="0"/>
        <w:adjustRightInd w:val="0"/>
        <w:spacing w:before="400" w:after="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The Novelty and Difficulty of the Questions; The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Undesir</w:t>
      </w:r>
      <w:r>
        <w:rPr>
          <w:rFonts w:ascii="Times New Roman" w:hAnsi="Times New Roman" w:cs="Times New Roman"/>
          <w:b/>
          <w:bCs/>
          <w:color w:val="000000"/>
          <w:sz w:val="20"/>
          <w:szCs w:val="20"/>
        </w:rPr>
        <w:t>ability</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of the Case</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hyperlink r:id="rId165"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litig</w:t>
      </w:r>
      <w:r>
        <w:rPr>
          <w:rFonts w:ascii="Times New Roman" w:hAnsi="Times New Roman" w:cs="Times New Roman"/>
          <w:color w:val="000000"/>
          <w:sz w:val="20"/>
          <w:szCs w:val="20"/>
        </w:rPr>
        <w:t>ation was novel and difficult on a variety of levels. Substantively, the litigation required complex medical and scientific knowledge, including analysis of pharmaceutical trials and causation issues. Globally, the parties hotly disputed the general causat</w:t>
      </w:r>
      <w:r>
        <w:rPr>
          <w:rFonts w:ascii="Times New Roman" w:hAnsi="Times New Roman" w:cs="Times New Roman"/>
          <w:color w:val="000000"/>
          <w:sz w:val="20"/>
          <w:szCs w:val="20"/>
        </w:rPr>
        <w:t xml:space="preserve">ion question of whether </w:t>
      </w:r>
      <w:hyperlink r:id="rId166"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caused</w:t>
      </w:r>
      <w:r>
        <w:rPr>
          <w:rFonts w:ascii="Times New Roman" w:hAnsi="Times New Roman" w:cs="Times New Roman"/>
          <w:color w:val="000000"/>
          <w:sz w:val="20"/>
          <w:szCs w:val="20"/>
        </w:rPr>
        <w:t xml:space="preserve"> the sorts of injuries alleged as well as the significance of various pharmaceutical studies. Individually, each </w:t>
      </w:r>
      <w:hyperlink r:id="rId167"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case tried before this Court and the coordinated state courts involved unique, complicated, and disputed issues of specific causation. The legal aspects of the litigation we</w:t>
      </w:r>
      <w:r>
        <w:rPr>
          <w:rFonts w:ascii="Times New Roman" w:hAnsi="Times New Roman" w:cs="Times New Roman"/>
          <w:color w:val="000000"/>
          <w:sz w:val="20"/>
          <w:szCs w:val="20"/>
        </w:rPr>
        <w:t xml:space="preserve">re equally diverse and </w:t>
      </w:r>
      <w:r>
        <w:rPr>
          <w:rFonts w:ascii="Times New Roman" w:hAnsi="Times New Roman" w:cs="Times New Roman"/>
          <w:color w:val="000000"/>
          <w:sz w:val="20"/>
          <w:szCs w:val="20"/>
        </w:rPr>
        <w:lastRenderedPageBreak/>
        <w:t>complicated. As this Court previously observed:</w:t>
      </w:r>
    </w:p>
    <w:p w:rsidR="00000000" w:rsidRDefault="001C0C97">
      <w:pPr>
        <w:widowControl w:val="0"/>
        <w:autoSpaceDE w:val="0"/>
        <w:autoSpaceDN w:val="0"/>
        <w:adjustRightInd w:val="0"/>
        <w:spacing w:before="250" w:after="50"/>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[T]his is essentially a products liability case, and all products liability cases pose significant challenges to plaintiffs’ counsel.... In addition, the basic challenges inherent in an</w:t>
      </w:r>
      <w:r>
        <w:rPr>
          <w:rFonts w:ascii="Times New Roman" w:hAnsi="Times New Roman" w:cs="Times New Roman"/>
          <w:color w:val="000000"/>
          <w:sz w:val="20"/>
          <w:szCs w:val="20"/>
        </w:rPr>
        <w:t>y products liability case were compounded in this case by a host of complex legal issues unique to the instant litigation, including (to name only a few) the learned intermediary doctrine, contributory negligence, causation, federal preemption laws, and Me</w:t>
      </w:r>
      <w:r>
        <w:rPr>
          <w:rFonts w:ascii="Times New Roman" w:hAnsi="Times New Roman" w:cs="Times New Roman"/>
          <w:color w:val="000000"/>
          <w:sz w:val="20"/>
          <w:szCs w:val="20"/>
        </w:rPr>
        <w:t>rck’s assertion of attorney-client privilege with respect to thousands of documents in its possession.</w:t>
      </w:r>
    </w:p>
    <w:p w:rsidR="00000000" w:rsidRDefault="001C0C97">
      <w:pPr>
        <w:widowControl w:val="0"/>
        <w:autoSpaceDE w:val="0"/>
        <w:autoSpaceDN w:val="0"/>
        <w:adjustRightInd w:val="0"/>
        <w:spacing w:before="200"/>
        <w:jc w:val="both"/>
        <w:rPr>
          <w:rFonts w:ascii="Times New Roman" w:hAnsi="Times New Roman" w:cs="Times New Roman"/>
          <w:color w:val="000000"/>
          <w:sz w:val="20"/>
          <w:szCs w:val="20"/>
        </w:rPr>
      </w:pPr>
      <w:hyperlink r:id="rId168" w:history="1">
        <w:r>
          <w:rPr>
            <w:rFonts w:ascii="Times New Roman" w:hAnsi="Times New Roman" w:cs="Times New Roman"/>
            <w:color w:val="000000"/>
            <w:sz w:val="20"/>
            <w:szCs w:val="20"/>
          </w:rPr>
          <w:t>574 F.Supp.2d at 616</w:t>
        </w:r>
        <w:r>
          <w:rPr>
            <w:rFonts w:ascii="Times New Roman" w:hAnsi="Times New Roman" w:cs="Times New Roman"/>
            <w:color w:val="000000"/>
            <w:sz w:val="20"/>
            <w:szCs w:val="20"/>
          </w:rPr>
          <w:t>–</w:t>
        </w:r>
        <w:r>
          <w:rPr>
            <w:rFonts w:ascii="Times New Roman" w:hAnsi="Times New Roman" w:cs="Times New Roman"/>
            <w:color w:val="000000"/>
            <w:sz w:val="20"/>
            <w:szCs w:val="20"/>
          </w:rPr>
          <w:t>17.</w:t>
        </w:r>
      </w:hyperlink>
      <w:r>
        <w:rPr>
          <w:rFonts w:ascii="Times New Roman" w:hAnsi="Times New Roman" w:cs="Times New Roman"/>
          <w:color w:val="000000"/>
          <w:sz w:val="20"/>
          <w:szCs w:val="20"/>
        </w:rPr>
        <w:t xml:space="preserve"> Finally, the sheer magnitude of the </w:t>
      </w:r>
      <w:hyperlink r:id="rId169"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litigation posed its own legal, logistical, and managerial challenges. Accordin</w:t>
      </w:r>
      <w:r>
        <w:rPr>
          <w:rFonts w:ascii="Times New Roman" w:hAnsi="Times New Roman" w:cs="Times New Roman"/>
          <w:color w:val="000000"/>
          <w:sz w:val="20"/>
          <w:szCs w:val="20"/>
        </w:rPr>
        <w:t>gly, the novelty and difficulty of the questions confronted by the PSC and other common benefit attorneys weighs in favor of an upward adjustment.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On the other hand, the Court finds that the complexity and difficulty of this litigation does not imply any</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undesirability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w:t>
      </w:r>
      <w:hyperlink r:id="rId170"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framework. The </w:t>
      </w:r>
      <w:hyperlink r:id="rId171"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court offered as an example a civil rights attorneys whose representation of an unpopular client may </w:t>
      </w:r>
      <w:r>
        <w:rPr>
          <w:rFonts w:ascii="Times New Roman" w:hAnsi="Times New Roman" w:cs="Times New Roman"/>
          <w:color w:val="000000"/>
          <w:sz w:val="20"/>
          <w:szCs w:val="20"/>
        </w:rPr>
        <w:t>“</w:t>
      </w:r>
      <w:r>
        <w:rPr>
          <w:rFonts w:ascii="Times New Roman" w:hAnsi="Times New Roman" w:cs="Times New Roman"/>
          <w:color w:val="000000"/>
          <w:sz w:val="20"/>
          <w:szCs w:val="20"/>
        </w:rPr>
        <w:t>not [be] pleasantly received by the community or his contemporaries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can have an economic impact on his pract</w:t>
      </w:r>
      <w:r>
        <w:rPr>
          <w:rFonts w:ascii="Times New Roman" w:hAnsi="Times New Roman" w:cs="Times New Roman"/>
          <w:color w:val="000000"/>
          <w:sz w:val="20"/>
          <w:szCs w:val="20"/>
        </w:rPr>
        <w: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72" w:history="1">
        <w:r>
          <w:rPr>
            <w:rFonts w:ascii="Times New Roman" w:hAnsi="Times New Roman" w:cs="Times New Roman"/>
            <w:color w:val="000000"/>
            <w:sz w:val="20"/>
            <w:szCs w:val="20"/>
          </w:rPr>
          <w:t>488 F.2d at 719.</w:t>
        </w:r>
      </w:hyperlink>
      <w:r>
        <w:rPr>
          <w:rFonts w:ascii="Times New Roman" w:hAnsi="Times New Roman" w:cs="Times New Roman"/>
          <w:color w:val="000000"/>
          <w:sz w:val="20"/>
          <w:szCs w:val="20"/>
        </w:rPr>
        <w:t xml:space="preserve"> The Court finds that the </w:t>
      </w:r>
      <w:hyperlink r:id="rId173"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litigation was not undesirable in this sense, and this factor does not affect the Court’s analysis.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78" w:name="co_anchor_I95b00dd99b6911e38578f7ccc38dc"/>
      <w:bookmarkEnd w:id="78"/>
    </w:p>
    <w:p w:rsidR="00000000" w:rsidRDefault="001C0C97">
      <w:pPr>
        <w:widowControl w:val="0"/>
        <w:autoSpaceDE w:val="0"/>
        <w:autoSpaceDN w:val="0"/>
        <w:adjustRightInd w:val="0"/>
        <w:spacing w:before="400" w:after="200"/>
        <w:jc w:val="center"/>
        <w:rPr>
          <w:rFonts w:ascii="Times New Roman" w:hAnsi="Times New Roman" w:cs="Times New Roman"/>
          <w:b/>
          <w:bCs/>
          <w:color w:val="000000"/>
          <w:sz w:val="20"/>
          <w:szCs w:val="20"/>
        </w:rPr>
      </w:pPr>
      <w:bookmarkStart w:id="79" w:name="co_pp_sp_4637_657_1"/>
      <w:bookmarkEnd w:id="79"/>
      <w:r>
        <w:rPr>
          <w:rFonts w:ascii="Times New Roman" w:hAnsi="Times New Roman" w:cs="Times New Roman"/>
          <w:b/>
          <w:bCs/>
          <w:color w:val="000000"/>
          <w:sz w:val="20"/>
          <w:szCs w:val="20"/>
        </w:rPr>
        <w:t>*657</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(c) The Skill Requisite to Perform the Legal Service; The Experience, Reputation, and Ability of the Attorneys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Court recognizes the expertise possessed and employed by the PSC and other common benefit attorneys to bring this</w:t>
      </w:r>
      <w:r>
        <w:rPr>
          <w:rFonts w:ascii="Times New Roman" w:hAnsi="Times New Roman" w:cs="Times New Roman"/>
          <w:color w:val="000000"/>
          <w:sz w:val="20"/>
          <w:szCs w:val="20"/>
        </w:rPr>
        <w:t xml:space="preserve"> litigation to its successful resolution. The attorneys doing common benefit work are among the finest attorneys practicing in the field. However, the primary attorneys who represented individual </w:t>
      </w:r>
      <w:hyperlink r:id="rId174"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claimants also brought substantial skill and ability to bear </w:t>
      </w:r>
      <w:r>
        <w:rPr>
          <w:rFonts w:ascii="Times New Roman" w:hAnsi="Times New Roman" w:cs="Times New Roman"/>
          <w:color w:val="000000"/>
          <w:sz w:val="20"/>
          <w:szCs w:val="20"/>
        </w:rPr>
        <w:t>in assessing cases, instructi</w:t>
      </w:r>
      <w:r>
        <w:rPr>
          <w:rFonts w:ascii="Times New Roman" w:hAnsi="Times New Roman" w:cs="Times New Roman"/>
          <w:color w:val="000000"/>
          <w:sz w:val="20"/>
          <w:szCs w:val="20"/>
        </w:rPr>
        <w:t xml:space="preserve">ng their paralegals on properly and efficiently collecting information and filling out various forms, and assisting their clients through the settlement process. The Court cannot say that the skill required and the skill brought to bear by attorneys doing </w:t>
      </w:r>
      <w:r>
        <w:rPr>
          <w:rFonts w:ascii="Times New Roman" w:hAnsi="Times New Roman" w:cs="Times New Roman"/>
          <w:color w:val="000000"/>
          <w:sz w:val="20"/>
          <w:szCs w:val="20"/>
        </w:rPr>
        <w:t xml:space="preserve">common benefit work was so superior to that possessed by primary attorneys representing individual clients as to warrant a </w:t>
      </w:r>
      <w:hyperlink r:id="rId175"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adjustment which would in effect shift attorneys’ fees from one group to the other. There were many excellent, hard-working attorneys</w:t>
      </w:r>
      <w:r>
        <w:rPr>
          <w:rFonts w:ascii="Times New Roman" w:hAnsi="Times New Roman" w:cs="Times New Roman"/>
          <w:color w:val="000000"/>
          <w:sz w:val="20"/>
          <w:szCs w:val="20"/>
        </w:rPr>
        <w:t xml:space="preserve"> who did not make it on to the PSC simply due to limitations of committee size. Accordingly, neither of these factors call for an adjustment of the benchmark percentage in this case.</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80" w:name="co_anchor_I95b00dda9b6911e38578f7ccc38dc"/>
      <w:bookmarkEnd w:id="80"/>
    </w:p>
    <w:p w:rsidR="00000000" w:rsidRDefault="001C0C97">
      <w:pPr>
        <w:widowControl w:val="0"/>
        <w:autoSpaceDE w:val="0"/>
        <w:autoSpaceDN w:val="0"/>
        <w:adjustRightInd w:val="0"/>
        <w:spacing w:before="400" w:after="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 Nature and Length of the Professional Relationship with the Client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PSC states that this factor is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neutral as it relates to the requested percentage since there are few, if any, longstanding client relations with the </w:t>
      </w:r>
      <w:hyperlink r:id="rId176"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Claimants.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(Rec. Doc. 17642</w:t>
      </w:r>
      <w:r>
        <w:rPr>
          <w:rFonts w:ascii="Times New Roman" w:hAnsi="Times New Roman" w:cs="Times New Roman"/>
          <w:color w:val="000000"/>
          <w:sz w:val="20"/>
          <w:szCs w:val="20"/>
        </w:rPr>
        <w:t>–</w:t>
      </w:r>
      <w:r>
        <w:rPr>
          <w:rFonts w:ascii="Times New Roman" w:hAnsi="Times New Roman" w:cs="Times New Roman"/>
          <w:color w:val="000000"/>
          <w:sz w:val="20"/>
          <w:szCs w:val="20"/>
        </w:rPr>
        <w:t>3 at 65). The Court ag</w:t>
      </w:r>
      <w:r>
        <w:rPr>
          <w:rFonts w:ascii="Times New Roman" w:hAnsi="Times New Roman" w:cs="Times New Roman"/>
          <w:color w:val="000000"/>
          <w:sz w:val="20"/>
          <w:szCs w:val="20"/>
        </w:rPr>
        <w:t xml:space="preserve">rees.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The relationship did not antedate the litigation, nor will it likely continue beyond the closure of this case.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77" w:history="1">
        <w:r>
          <w:rPr>
            <w:rFonts w:ascii="Times New Roman" w:hAnsi="Times New Roman" w:cs="Times New Roman"/>
            <w:i/>
            <w:iCs/>
            <w:color w:val="000000"/>
            <w:sz w:val="20"/>
            <w:szCs w:val="20"/>
          </w:rPr>
          <w:t>Murphy Oil,</w:t>
        </w:r>
        <w:r>
          <w:rPr>
            <w:rFonts w:ascii="Times New Roman" w:hAnsi="Times New Roman" w:cs="Times New Roman"/>
            <w:color w:val="000000"/>
            <w:sz w:val="20"/>
            <w:szCs w:val="20"/>
          </w:rPr>
          <w:t xml:space="preserve"> 472 F.Supp.2d at 866</w:t>
        </w:r>
        <w:r>
          <w:rPr>
            <w:rFonts w:ascii="Times New Roman" w:hAnsi="Times New Roman" w:cs="Times New Roman"/>
            <w:color w:val="000000"/>
            <w:sz w:val="20"/>
            <w:szCs w:val="20"/>
          </w:rPr>
          <w:t>–</w:t>
        </w:r>
        <w:r>
          <w:rPr>
            <w:rFonts w:ascii="Times New Roman" w:hAnsi="Times New Roman" w:cs="Times New Roman"/>
            <w:color w:val="000000"/>
            <w:sz w:val="20"/>
            <w:szCs w:val="20"/>
          </w:rPr>
          <w:t>67</w:t>
        </w:r>
      </w:hyperlink>
      <w:r>
        <w:rPr>
          <w:rFonts w:ascii="Times New Roman" w:hAnsi="Times New Roman" w:cs="Times New Roman"/>
          <w:color w:val="000000"/>
          <w:sz w:val="20"/>
          <w:szCs w:val="20"/>
        </w:rPr>
        <w:t xml:space="preserve"> (quoting </w:t>
      </w:r>
      <w:hyperlink r:id="rId178" w:history="1">
        <w:r>
          <w:rPr>
            <w:rFonts w:ascii="Times New Roman" w:hAnsi="Times New Roman" w:cs="Times New Roman"/>
            <w:i/>
            <w:iCs/>
            <w:color w:val="000000"/>
            <w:sz w:val="20"/>
            <w:szCs w:val="20"/>
          </w:rPr>
          <w:t>In re</w:t>
        </w:r>
        <w:r>
          <w:rPr>
            <w:rFonts w:ascii="Times New Roman" w:hAnsi="Times New Roman" w:cs="Times New Roman"/>
            <w:i/>
            <w:iCs/>
            <w:color w:val="000000"/>
            <w:sz w:val="20"/>
            <w:szCs w:val="20"/>
          </w:rPr>
          <w:t xml:space="preserve"> ETS,</w:t>
        </w:r>
        <w:r>
          <w:rPr>
            <w:rFonts w:ascii="Times New Roman" w:hAnsi="Times New Roman" w:cs="Times New Roman"/>
            <w:color w:val="000000"/>
            <w:sz w:val="20"/>
            <w:szCs w:val="20"/>
          </w:rPr>
          <w:t xml:space="preserve"> 447 F.Supp.2d at 632).</w:t>
        </w:r>
      </w:hyperlink>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81" w:name="co_anchor_I95b00ddb9b6911e38578f7ccc38dc"/>
      <w:bookmarkEnd w:id="81"/>
    </w:p>
    <w:p w:rsidR="00000000" w:rsidRDefault="001C0C97">
      <w:pPr>
        <w:widowControl w:val="0"/>
        <w:autoSpaceDE w:val="0"/>
        <w:autoSpaceDN w:val="0"/>
        <w:adjustRightInd w:val="0"/>
        <w:spacing w:before="400" w:after="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 Customary fee; Whether the Fee is Fixed or Contingent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These factors primarily deal with the expectation of plaintiffs’ attorneys at the </w:t>
      </w:r>
      <w:r>
        <w:rPr>
          <w:rFonts w:ascii="Times New Roman" w:hAnsi="Times New Roman" w:cs="Times New Roman"/>
          <w:color w:val="000000"/>
          <w:sz w:val="20"/>
          <w:szCs w:val="20"/>
        </w:rPr>
        <w:t>outset of the case when measuring the risks involved and deciding whether to accept the case.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79" w:history="1">
        <w:r>
          <w:rPr>
            <w:rFonts w:ascii="Times New Roman" w:hAnsi="Times New Roman" w:cs="Times New Roman"/>
            <w:i/>
            <w:iCs/>
            <w:color w:val="000000"/>
            <w:sz w:val="20"/>
            <w:szCs w:val="20"/>
          </w:rPr>
          <w:t>Murphy Oil,</w:t>
        </w:r>
        <w:r>
          <w:rPr>
            <w:rFonts w:ascii="Times New Roman" w:hAnsi="Times New Roman" w:cs="Times New Roman"/>
            <w:color w:val="000000"/>
            <w:sz w:val="20"/>
            <w:szCs w:val="20"/>
          </w:rPr>
          <w:t xml:space="preserve"> 472 F.Supp.2d at 866</w:t>
        </w:r>
      </w:hyperlink>
      <w:r>
        <w:rPr>
          <w:rFonts w:ascii="Times New Roman" w:hAnsi="Times New Roman" w:cs="Times New Roman"/>
          <w:color w:val="000000"/>
          <w:sz w:val="20"/>
          <w:szCs w:val="20"/>
        </w:rPr>
        <w:t xml:space="preserve"> (citing </w:t>
      </w:r>
      <w:hyperlink r:id="rId180" w:history="1">
        <w:r>
          <w:rPr>
            <w:rFonts w:ascii="Times New Roman" w:hAnsi="Times New Roman" w:cs="Times New Roman"/>
            <w:i/>
            <w:iCs/>
            <w:color w:val="000000"/>
            <w:sz w:val="20"/>
            <w:szCs w:val="20"/>
          </w:rPr>
          <w:t>Johnson,</w:t>
        </w:r>
        <w:r>
          <w:rPr>
            <w:rFonts w:ascii="Times New Roman" w:hAnsi="Times New Roman" w:cs="Times New Roman"/>
            <w:color w:val="000000"/>
            <w:sz w:val="20"/>
            <w:szCs w:val="20"/>
          </w:rPr>
          <w:t xml:space="preserve"> 488 F.2d at 718).</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In effect</w:t>
      </w:r>
      <w:r>
        <w:rPr>
          <w:rFonts w:ascii="Times New Roman" w:hAnsi="Times New Roman" w:cs="Times New Roman"/>
          <w:color w:val="000000"/>
          <w:sz w:val="20"/>
          <w:szCs w:val="20"/>
        </w:rPr>
        <w:t>, these factors seek to reward the attorney for accepting the risk and achieving successful results.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81" w:history="1">
        <w:r>
          <w:rPr>
            <w:rFonts w:ascii="Times New Roman" w:hAnsi="Times New Roman" w:cs="Times New Roman"/>
            <w:i/>
            <w:iCs/>
            <w:color w:val="000000"/>
            <w:sz w:val="20"/>
            <w:szCs w:val="20"/>
          </w:rPr>
          <w:t>Id.</w:t>
        </w:r>
      </w:hyperlink>
      <w:r>
        <w:rPr>
          <w:rFonts w:ascii="Times New Roman" w:hAnsi="Times New Roman" w:cs="Times New Roman"/>
          <w:color w:val="000000"/>
          <w:sz w:val="20"/>
          <w:szCs w:val="20"/>
        </w:rPr>
        <w:t xml:space="preserve"> The PLC argues that the </w:t>
      </w:r>
      <w:hyperlink r:id="rId182"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litigation was fraught with risk for plaintiffs’ attorneys, and furthermore that in light of customary fees their requested 7.5% is appropriate compensation for com</w:t>
      </w:r>
      <w:r>
        <w:rPr>
          <w:rFonts w:ascii="Times New Roman" w:hAnsi="Times New Roman" w:cs="Times New Roman"/>
          <w:color w:val="000000"/>
          <w:sz w:val="20"/>
          <w:szCs w:val="20"/>
        </w:rPr>
        <w:t xml:space="preserve">mon benefit work. The Court has already recognized the novelty and the substantial legal hurdles to successfully resolving these claims in connection with a prior </w:t>
      </w:r>
      <w:hyperlink r:id="rId183"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factor. Furthermore, at an early stage in this litigation the Court established a fund to com</w:t>
      </w:r>
      <w:r>
        <w:rPr>
          <w:rFonts w:ascii="Times New Roman" w:hAnsi="Times New Roman" w:cs="Times New Roman"/>
          <w:color w:val="000000"/>
          <w:sz w:val="20"/>
          <w:szCs w:val="20"/>
        </w:rPr>
        <w:t xml:space="preserve">pensate attorneys for common benefit fees and expenses; </w:t>
      </w:r>
      <w:r>
        <w:rPr>
          <w:rFonts w:ascii="Times New Roman" w:hAnsi="Times New Roman" w:cs="Times New Roman"/>
          <w:color w:val="000000"/>
          <w:sz w:val="20"/>
          <w:szCs w:val="20"/>
        </w:rPr>
        <w:lastRenderedPageBreak/>
        <w:t>accordingly, the risk assumed by common benefit attorneys was somewhat mitigated. Finally, the Court’s analysis of the range of common benefit fee awards and assessments in other MDLs adequately addre</w:t>
      </w:r>
      <w:r>
        <w:rPr>
          <w:rFonts w:ascii="Times New Roman" w:hAnsi="Times New Roman" w:cs="Times New Roman"/>
          <w:color w:val="000000"/>
          <w:sz w:val="20"/>
          <w:szCs w:val="20"/>
        </w:rPr>
        <w:t>sses the customary fee. These factors in and of themselves do not warrant adjustment of the benchmark percentage.</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82" w:name="co_anchor_I95b00ddc9b6911e38578f7ccc38dc"/>
      <w:bookmarkEnd w:id="82"/>
    </w:p>
    <w:p w:rsidR="00000000" w:rsidRDefault="001C0C97">
      <w:pPr>
        <w:widowControl w:val="0"/>
        <w:autoSpaceDE w:val="0"/>
        <w:autoSpaceDN w:val="0"/>
        <w:adjustRightInd w:val="0"/>
        <w:spacing w:before="400" w:after="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 The Amount Involved and the Results Obtained</w:t>
      </w:r>
    </w:p>
    <w:p w:rsidR="00000000" w:rsidRDefault="001C0C97">
      <w:pPr>
        <w:widowControl w:val="0"/>
        <w:autoSpaceDE w:val="0"/>
        <w:autoSpaceDN w:val="0"/>
        <w:adjustRightInd w:val="0"/>
        <w:jc w:val="both"/>
        <w:rPr>
          <w:rFonts w:ascii="Times New Roman" w:hAnsi="Times New Roman" w:cs="Times New Roman"/>
          <w:color w:val="000000"/>
          <w:sz w:val="20"/>
          <w:szCs w:val="20"/>
        </w:rPr>
      </w:pPr>
      <w:hyperlink r:id="rId184" w:history="1">
        <w:r>
          <w:rPr>
            <w:rFonts w:ascii="Times New Roman" w:hAnsi="Times New Roman" w:cs="Times New Roman"/>
            <w:b/>
            <w:bCs/>
            <w:color w:val="000000"/>
            <w:sz w:val="20"/>
            <w:szCs w:val="20"/>
            <w:vertAlign w:val="superscript"/>
          </w:rPr>
          <w:t>[7]</w:t>
        </w:r>
      </w:hyperlink>
      <w:bookmarkStart w:id="83" w:name="co_anchor_B72024375594_1"/>
      <w:bookmarkEnd w:id="83"/>
      <w:r>
        <w:rPr>
          <w:rFonts w:ascii="Times New Roman" w:hAnsi="Times New Roman" w:cs="Times New Roman"/>
          <w:color w:val="000000"/>
          <w:sz w:val="20"/>
          <w:szCs w:val="20"/>
        </w:rPr>
        <w:t xml:space="preserve"> Attorneys doing common benefit work on behalf of </w:t>
      </w:r>
      <w:hyperlink r:id="rId185"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users have achieved a favorable and meaningful global resolution:</w:t>
      </w:r>
    </w:p>
    <w:p w:rsidR="00000000" w:rsidRDefault="001C0C97">
      <w:pPr>
        <w:widowControl w:val="0"/>
        <w:autoSpaceDE w:val="0"/>
        <w:autoSpaceDN w:val="0"/>
        <w:adjustRightInd w:val="0"/>
        <w:spacing w:before="250" w:after="50"/>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This is not a case in which the class receives only illusory benefits in the f</w:t>
      </w:r>
      <w:r>
        <w:rPr>
          <w:rFonts w:ascii="Times New Roman" w:hAnsi="Times New Roman" w:cs="Times New Roman"/>
          <w:color w:val="000000"/>
          <w:sz w:val="20"/>
          <w:szCs w:val="20"/>
        </w:rPr>
        <w:t xml:space="preserve">orm of coupons or discounts. Rather, counsel has achieved a substantial settlement in an efficient manner that minimizes the drain on the parties’ and the Court’s resources. Counsel also devised a plan for distribution of the fund and </w:t>
      </w:r>
      <w:bookmarkStart w:id="84" w:name="co_pp_sp_4637_658_1"/>
      <w:bookmarkEnd w:id="84"/>
      <w:r>
        <w:rPr>
          <w:rFonts w:ascii="Times New Roman" w:hAnsi="Times New Roman" w:cs="Times New Roman"/>
          <w:b/>
          <w:bCs/>
          <w:color w:val="000000"/>
          <w:sz w:val="20"/>
          <w:szCs w:val="20"/>
        </w:rPr>
        <w:t>*658</w:t>
      </w:r>
      <w:r>
        <w:rPr>
          <w:rFonts w:ascii="Times New Roman" w:hAnsi="Times New Roman" w:cs="Times New Roman"/>
          <w:color w:val="000000"/>
          <w:sz w:val="20"/>
          <w:szCs w:val="20"/>
        </w:rPr>
        <w:t xml:space="preserve"> payment of claims that is practical, streamlined and fair.</w:t>
      </w:r>
    </w:p>
    <w:p w:rsidR="00000000" w:rsidRDefault="001C0C97">
      <w:pPr>
        <w:widowControl w:val="0"/>
        <w:autoSpaceDE w:val="0"/>
        <w:autoSpaceDN w:val="0"/>
        <w:adjustRightInd w:val="0"/>
        <w:spacing w:before="200"/>
        <w:jc w:val="both"/>
        <w:rPr>
          <w:rFonts w:ascii="Times New Roman" w:hAnsi="Times New Roman" w:cs="Times New Roman"/>
          <w:color w:val="000000"/>
          <w:sz w:val="20"/>
          <w:szCs w:val="20"/>
        </w:rPr>
      </w:pPr>
      <w:hyperlink r:id="rId186" w:history="1">
        <w:r>
          <w:rPr>
            <w:rFonts w:ascii="Times New Roman" w:hAnsi="Times New Roman" w:cs="Times New Roman"/>
            <w:i/>
            <w:iCs/>
            <w:color w:val="000000"/>
            <w:sz w:val="20"/>
            <w:szCs w:val="20"/>
          </w:rPr>
          <w:t>In re ETS,</w:t>
        </w:r>
        <w:r>
          <w:rPr>
            <w:rFonts w:ascii="Times New Roman" w:hAnsi="Times New Roman" w:cs="Times New Roman"/>
            <w:color w:val="000000"/>
            <w:sz w:val="20"/>
            <w:szCs w:val="20"/>
          </w:rPr>
          <w:t xml:space="preserve"> 447 F.Supp.2d at 632</w:t>
        </w:r>
      </w:hyperlink>
      <w:r>
        <w:rPr>
          <w:rFonts w:ascii="Times New Roman" w:hAnsi="Times New Roman" w:cs="Times New Roman"/>
          <w:color w:val="000000"/>
          <w:sz w:val="20"/>
          <w:szCs w:val="20"/>
        </w:rPr>
        <w: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As discussed above, resolution of this multidistrict litigation through the global Settlement Agr</w:t>
      </w:r>
      <w:r>
        <w:rPr>
          <w:rFonts w:ascii="Times New Roman" w:hAnsi="Times New Roman" w:cs="Times New Roman"/>
          <w:color w:val="000000"/>
          <w:sz w:val="20"/>
          <w:szCs w:val="20"/>
        </w:rPr>
        <w:t xml:space="preserve">eement was vastly preferable to expensive and time-consuming case-by-case trial of individual </w:t>
      </w:r>
      <w:hyperlink r:id="rId187"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claims, or to piecemeal settlement. The Settlement Agreement ensured fair and comprehensive compensation to all qualified participants. The overwhelming participation rate of 99.9% further und</w:t>
      </w:r>
      <w:r>
        <w:rPr>
          <w:rFonts w:ascii="Times New Roman" w:hAnsi="Times New Roman" w:cs="Times New Roman"/>
          <w:color w:val="000000"/>
          <w:sz w:val="20"/>
          <w:szCs w:val="20"/>
        </w:rPr>
        <w:t xml:space="preserve">erscores the benefit of the results obtained. PSC members achieved more than a fair and adequate bargain for </w:t>
      </w:r>
      <w:hyperlink r:id="rId188"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users. Thus, the Court finds that this factor supports an upward adjustment of the benchmark percentage.</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85" w:name="co_anchor_I95b00ddd9b6911e38578f7ccc38dc"/>
      <w:bookmarkEnd w:id="85"/>
    </w:p>
    <w:p w:rsidR="00000000" w:rsidRDefault="001C0C97">
      <w:pPr>
        <w:widowControl w:val="0"/>
        <w:autoSpaceDE w:val="0"/>
        <w:autoSpaceDN w:val="0"/>
        <w:adjustRightInd w:val="0"/>
        <w:spacing w:before="400" w:after="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(g) Awards in Similar Cases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 the Court described above, there is a wide range of common benefit fee assessments and awards in MDL </w:t>
      </w:r>
      <w:r>
        <w:rPr>
          <w:rFonts w:ascii="Times New Roman" w:hAnsi="Times New Roman" w:cs="Times New Roman"/>
          <w:color w:val="000000"/>
          <w:sz w:val="20"/>
          <w:szCs w:val="20"/>
        </w:rPr>
        <w:t xml:space="preserve">cases and other complex litigation. </w:t>
      </w:r>
      <w:r>
        <w:rPr>
          <w:rFonts w:ascii="Times New Roman" w:hAnsi="Times New Roman" w:cs="Times New Roman"/>
          <w:i/>
          <w:iCs/>
          <w:color w:val="000000"/>
          <w:sz w:val="20"/>
          <w:szCs w:val="20"/>
        </w:rPr>
        <w:t xml:space="preserve">E.g., </w:t>
      </w:r>
      <w:hyperlink r:id="rId189" w:history="1">
        <w:r>
          <w:rPr>
            <w:rFonts w:ascii="Times New Roman" w:hAnsi="Times New Roman" w:cs="Times New Roman"/>
            <w:i/>
            <w:iCs/>
            <w:color w:val="000000"/>
            <w:sz w:val="20"/>
            <w:szCs w:val="20"/>
          </w:rPr>
          <w:t>In re Diet Drugs,</w:t>
        </w:r>
        <w:r>
          <w:rPr>
            <w:rFonts w:ascii="Times New Roman" w:hAnsi="Times New Roman" w:cs="Times New Roman"/>
            <w:color w:val="000000"/>
            <w:sz w:val="20"/>
            <w:szCs w:val="20"/>
          </w:rPr>
          <w:t xml:space="preserve"> 553 F.Supp.2d</w:t>
        </w:r>
        <w:r>
          <w:rPr>
            <w:rFonts w:ascii="Times New Roman" w:hAnsi="Times New Roman" w:cs="Times New Roman"/>
            <w:color w:val="000000"/>
            <w:sz w:val="20"/>
            <w:szCs w:val="20"/>
          </w:rPr>
          <w:t xml:space="preserve"> at 457</w:t>
        </w:r>
        <w:r>
          <w:rPr>
            <w:rFonts w:ascii="Times New Roman" w:hAnsi="Times New Roman" w:cs="Times New Roman"/>
            <w:color w:val="000000"/>
            <w:sz w:val="20"/>
            <w:szCs w:val="20"/>
          </w:rPr>
          <w:t>–</w:t>
        </w:r>
        <w:r>
          <w:rPr>
            <w:rFonts w:ascii="Times New Roman" w:hAnsi="Times New Roman" w:cs="Times New Roman"/>
            <w:color w:val="000000"/>
            <w:sz w:val="20"/>
            <w:szCs w:val="20"/>
          </w:rPr>
          <w:t>58, 491</w:t>
        </w:r>
        <w:r>
          <w:rPr>
            <w:rFonts w:ascii="Times New Roman" w:hAnsi="Times New Roman" w:cs="Times New Roman"/>
            <w:color w:val="000000"/>
            <w:sz w:val="20"/>
            <w:szCs w:val="20"/>
          </w:rPr>
          <w:t>–</w:t>
        </w:r>
        <w:r>
          <w:rPr>
            <w:rFonts w:ascii="Times New Roman" w:hAnsi="Times New Roman" w:cs="Times New Roman"/>
            <w:color w:val="000000"/>
            <w:sz w:val="20"/>
            <w:szCs w:val="20"/>
          </w:rPr>
          <w:t>96</w:t>
        </w:r>
      </w:hyperlink>
      <w:r>
        <w:rPr>
          <w:rFonts w:ascii="Times New Roman" w:hAnsi="Times New Roman" w:cs="Times New Roman"/>
          <w:color w:val="000000"/>
          <w:sz w:val="20"/>
          <w:szCs w:val="20"/>
        </w:rPr>
        <w:t xml:space="preserve"> (describing various 9% federal and 6% state assessments later reduced to 6% and 4%, respectively; awarding less than total fund created by assessments); </w:t>
      </w:r>
      <w:hyperlink r:id="rId190" w:history="1">
        <w:r>
          <w:rPr>
            <w:rFonts w:ascii="Times New Roman" w:hAnsi="Times New Roman" w:cs="Times New Roman"/>
            <w:i/>
            <w:iCs/>
            <w:color w:val="000000"/>
            <w:sz w:val="20"/>
            <w:szCs w:val="20"/>
          </w:rPr>
          <w:t>Guidant,</w:t>
        </w:r>
        <w:r>
          <w:rPr>
            <w:rFonts w:ascii="Times New Roman" w:hAnsi="Times New Roman" w:cs="Times New Roman"/>
            <w:color w:val="000000"/>
            <w:sz w:val="20"/>
            <w:szCs w:val="20"/>
          </w:rPr>
          <w:t xml:space="preserve"> 2008 WL 451076, at *1</w:t>
        </w:r>
      </w:hyperlink>
      <w:r>
        <w:rPr>
          <w:rFonts w:ascii="Times New Roman" w:hAnsi="Times New Roman" w:cs="Times New Roman"/>
          <w:color w:val="000000"/>
          <w:sz w:val="20"/>
          <w:szCs w:val="20"/>
        </w:rPr>
        <w:t xml:space="preserve"> (14.375% of settlement value); </w:t>
      </w:r>
      <w:hyperlink r:id="rId191" w:history="1">
        <w:r>
          <w:rPr>
            <w:rFonts w:ascii="Times New Roman" w:hAnsi="Times New Roman" w:cs="Times New Roman"/>
            <w:i/>
            <w:iCs/>
            <w:color w:val="000000"/>
            <w:sz w:val="20"/>
            <w:szCs w:val="20"/>
          </w:rPr>
          <w:t>In re Zyprexa,</w:t>
        </w:r>
        <w:r>
          <w:rPr>
            <w:rFonts w:ascii="Times New Roman" w:hAnsi="Times New Roman" w:cs="Times New Roman"/>
            <w:color w:val="000000"/>
            <w:sz w:val="20"/>
            <w:szCs w:val="20"/>
          </w:rPr>
          <w:t xml:space="preserve"> 467 F.Supp.2d at 261</w:t>
        </w:r>
        <w:r>
          <w:rPr>
            <w:rFonts w:ascii="Times New Roman" w:hAnsi="Times New Roman" w:cs="Times New Roman"/>
            <w:color w:val="000000"/>
            <w:sz w:val="20"/>
            <w:szCs w:val="20"/>
          </w:rPr>
          <w:t>–</w:t>
        </w:r>
        <w:r>
          <w:rPr>
            <w:rFonts w:ascii="Times New Roman" w:hAnsi="Times New Roman" w:cs="Times New Roman"/>
            <w:color w:val="000000"/>
            <w:sz w:val="20"/>
            <w:szCs w:val="20"/>
          </w:rPr>
          <w:t>63</w:t>
        </w:r>
      </w:hyperlink>
      <w:r>
        <w:rPr>
          <w:rFonts w:ascii="Times New Roman" w:hAnsi="Times New Roman" w:cs="Times New Roman"/>
          <w:color w:val="000000"/>
          <w:sz w:val="20"/>
          <w:szCs w:val="20"/>
        </w:rPr>
        <w:t xml:space="preserve"> (1% and 3% of separate settlement amounts); </w:t>
      </w:r>
      <w:hyperlink r:id="rId192" w:history="1">
        <w:r>
          <w:rPr>
            <w:rFonts w:ascii="Times New Roman" w:hAnsi="Times New Roman" w:cs="Times New Roman"/>
            <w:i/>
            <w:iCs/>
            <w:color w:val="000000"/>
            <w:sz w:val="20"/>
            <w:szCs w:val="20"/>
          </w:rPr>
          <w:t>In re Sulzer Hip Prosthesis &amp; Knee Prosthesis,</w:t>
        </w:r>
        <w:r>
          <w:rPr>
            <w:rFonts w:ascii="Times New Roman" w:hAnsi="Times New Roman" w:cs="Times New Roman"/>
            <w:color w:val="000000"/>
            <w:sz w:val="20"/>
            <w:szCs w:val="20"/>
          </w:rPr>
          <w:t xml:space="preserve"> 268 F.Supp.2d at 909, 919 n. 19</w:t>
        </w:r>
      </w:hyperlink>
      <w:r>
        <w:rPr>
          <w:rFonts w:ascii="Times New Roman" w:hAnsi="Times New Roman" w:cs="Times New Roman"/>
          <w:color w:val="000000"/>
          <w:sz w:val="20"/>
          <w:szCs w:val="20"/>
        </w:rPr>
        <w:t xml:space="preserve"> (awarding common ben</w:t>
      </w:r>
      <w:r>
        <w:rPr>
          <w:rFonts w:ascii="Times New Roman" w:hAnsi="Times New Roman" w:cs="Times New Roman"/>
          <w:color w:val="000000"/>
          <w:sz w:val="20"/>
          <w:szCs w:val="20"/>
        </w:rPr>
        <w:t xml:space="preserve">efit fees out of $50,000,000 fund created through assessment representing 4.8% of settlement value); </w:t>
      </w:r>
      <w:hyperlink r:id="rId193" w:history="1">
        <w:r>
          <w:rPr>
            <w:rFonts w:ascii="Times New Roman" w:hAnsi="Times New Roman" w:cs="Times New Roman"/>
            <w:i/>
            <w:iCs/>
            <w:color w:val="000000"/>
            <w:sz w:val="20"/>
            <w:szCs w:val="20"/>
          </w:rPr>
          <w:t>In re Protegen Sling &amp; Vesica Sys.,</w:t>
        </w:r>
        <w:r>
          <w:rPr>
            <w:rFonts w:ascii="Times New Roman" w:hAnsi="Times New Roman" w:cs="Times New Roman"/>
            <w:color w:val="000000"/>
            <w:sz w:val="20"/>
            <w:szCs w:val="20"/>
          </w:rPr>
          <w:t xml:space="preserve"> 2002 WL 31834446, at *1, *3</w:t>
        </w:r>
      </w:hyperlink>
      <w:r>
        <w:rPr>
          <w:rFonts w:ascii="Times New Roman" w:hAnsi="Times New Roman" w:cs="Times New Roman"/>
          <w:color w:val="000000"/>
          <w:sz w:val="20"/>
          <w:szCs w:val="20"/>
        </w:rPr>
        <w:t xml:space="preserve"> (9% federal, 6% coordinated state assessments); </w:t>
      </w:r>
      <w:hyperlink r:id="rId194" w:history="1">
        <w:r>
          <w:rPr>
            <w:rFonts w:ascii="Times New Roman" w:hAnsi="Times New Roman" w:cs="Times New Roman"/>
            <w:i/>
            <w:iCs/>
            <w:color w:val="000000"/>
            <w:sz w:val="20"/>
            <w:szCs w:val="20"/>
          </w:rPr>
          <w:t>In re Rezulin,</w:t>
        </w:r>
        <w:r>
          <w:rPr>
            <w:rFonts w:ascii="Times New Roman" w:hAnsi="Times New Roman" w:cs="Times New Roman"/>
            <w:color w:val="000000"/>
            <w:sz w:val="20"/>
            <w:szCs w:val="20"/>
          </w:rPr>
          <w:t xml:space="preserve"> 2002 WL 441342, a</w:t>
        </w:r>
        <w:r>
          <w:rPr>
            <w:rFonts w:ascii="Times New Roman" w:hAnsi="Times New Roman" w:cs="Times New Roman"/>
            <w:color w:val="000000"/>
            <w:sz w:val="20"/>
            <w:szCs w:val="20"/>
          </w:rPr>
          <w:t>t *1</w:t>
        </w:r>
      </w:hyperlink>
      <w:r>
        <w:rPr>
          <w:rFonts w:ascii="Times New Roman" w:hAnsi="Times New Roman" w:cs="Times New Roman"/>
          <w:color w:val="000000"/>
          <w:sz w:val="20"/>
          <w:szCs w:val="20"/>
        </w:rPr>
        <w:t xml:space="preserve"> (6% withholding in federal cases, 4% in participating state cases); </w:t>
      </w:r>
      <w:hyperlink r:id="rId195" w:history="1">
        <w:r>
          <w:rPr>
            <w:rFonts w:ascii="Times New Roman" w:hAnsi="Times New Roman" w:cs="Times New Roman"/>
            <w:i/>
            <w:iCs/>
            <w:color w:val="000000"/>
            <w:sz w:val="20"/>
            <w:szCs w:val="20"/>
          </w:rPr>
          <w:t>In re Orthopedic Bone Screw,</w:t>
        </w:r>
        <w:r>
          <w:rPr>
            <w:rFonts w:ascii="Times New Roman" w:hAnsi="Times New Roman" w:cs="Times New Roman"/>
            <w:color w:val="000000"/>
            <w:sz w:val="20"/>
            <w:szCs w:val="20"/>
          </w:rPr>
          <w:t xml:space="preserve"> 2000 WL 1622741</w:t>
        </w:r>
      </w:hyperlink>
      <w:r>
        <w:rPr>
          <w:rFonts w:ascii="Times New Roman" w:hAnsi="Times New Roman" w:cs="Times New Roman"/>
          <w:color w:val="000000"/>
          <w:sz w:val="20"/>
          <w:szCs w:val="20"/>
        </w:rPr>
        <w:t xml:space="preserve"> (awarding full 12% of withheld fees); </w:t>
      </w:r>
      <w:r>
        <w:rPr>
          <w:rFonts w:ascii="Times New Roman" w:hAnsi="Times New Roman" w:cs="Times New Roman"/>
          <w:i/>
          <w:iCs/>
          <w:color w:val="000000"/>
          <w:sz w:val="20"/>
          <w:szCs w:val="20"/>
        </w:rPr>
        <w:t>see generally</w:t>
      </w:r>
      <w:r>
        <w:rPr>
          <w:rFonts w:ascii="Times New Roman" w:hAnsi="Times New Roman" w:cs="Times New Roman"/>
          <w:color w:val="000000"/>
          <w:sz w:val="20"/>
          <w:szCs w:val="20"/>
        </w:rPr>
        <w:t xml:space="preserve"> Paul D. Rheingold, </w:t>
      </w:r>
      <w:r>
        <w:rPr>
          <w:rFonts w:ascii="Times New Roman" w:hAnsi="Times New Roman" w:cs="Times New Roman"/>
          <w:i/>
          <w:iCs/>
          <w:color w:val="000000"/>
          <w:sz w:val="20"/>
          <w:szCs w:val="20"/>
        </w:rPr>
        <w:t>Litigating Mass Tort Cases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7:46 </w:t>
      </w:r>
      <w:r>
        <w:rPr>
          <w:rFonts w:ascii="Times New Roman" w:hAnsi="Times New Roman" w:cs="Times New Roman"/>
          <w:i/>
          <w:iCs/>
          <w:color w:val="000000"/>
          <w:sz w:val="20"/>
          <w:szCs w:val="20"/>
        </w:rPr>
        <w:t>et seq.</w:t>
      </w:r>
      <w:r>
        <w:rPr>
          <w:rFonts w:ascii="Times New Roman" w:hAnsi="Times New Roman" w:cs="Times New Roman"/>
          <w:color w:val="000000"/>
          <w:sz w:val="20"/>
          <w:szCs w:val="20"/>
        </w:rPr>
        <w:t xml:space="preserve"> (2010) (collecting </w:t>
      </w:r>
      <w:r>
        <w:rPr>
          <w:rFonts w:ascii="Times New Roman" w:hAnsi="Times New Roman" w:cs="Times New Roman"/>
          <w:color w:val="000000"/>
          <w:sz w:val="20"/>
          <w:szCs w:val="20"/>
        </w:rPr>
        <w:t>fee award case histories). The 6% benchmark percentage is comfortably within that range, and not so out of line that it requires upward or downward adjustment.</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86" w:name="co_anchor_I95b00dde9b6911e38578f7ccc38dc"/>
      <w:bookmarkEnd w:id="86"/>
    </w:p>
    <w:p w:rsidR="00000000" w:rsidRDefault="001C0C97">
      <w:pPr>
        <w:widowControl w:val="0"/>
        <w:autoSpaceDE w:val="0"/>
        <w:autoSpaceDN w:val="0"/>
        <w:adjustRightInd w:val="0"/>
        <w:spacing w:before="400" w:after="20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 Adjusted B</w:t>
      </w:r>
      <w:r>
        <w:rPr>
          <w:rFonts w:ascii="Times New Roman" w:hAnsi="Times New Roman" w:cs="Times New Roman"/>
          <w:b/>
          <w:bCs/>
          <w:i/>
          <w:iCs/>
          <w:color w:val="000000"/>
          <w:sz w:val="20"/>
          <w:szCs w:val="20"/>
        </w:rPr>
        <w:t>enchmark Percentage</w:t>
      </w:r>
    </w:p>
    <w:p w:rsidR="00000000" w:rsidRDefault="001C0C97">
      <w:pPr>
        <w:widowControl w:val="0"/>
        <w:autoSpaceDE w:val="0"/>
        <w:autoSpaceDN w:val="0"/>
        <w:adjustRightInd w:val="0"/>
        <w:jc w:val="both"/>
        <w:rPr>
          <w:rFonts w:ascii="Times New Roman" w:hAnsi="Times New Roman" w:cs="Times New Roman"/>
          <w:color w:val="000000"/>
          <w:sz w:val="20"/>
          <w:szCs w:val="20"/>
        </w:rPr>
      </w:pPr>
      <w:hyperlink r:id="rId196" w:history="1">
        <w:r>
          <w:rPr>
            <w:rFonts w:ascii="Times New Roman" w:hAnsi="Times New Roman" w:cs="Times New Roman"/>
            <w:b/>
            <w:bCs/>
            <w:color w:val="000000"/>
            <w:sz w:val="20"/>
            <w:szCs w:val="20"/>
            <w:vertAlign w:val="superscript"/>
          </w:rPr>
          <w:t>[8]</w:t>
        </w:r>
      </w:hyperlink>
      <w:bookmarkStart w:id="87" w:name="co_anchor_B82024375594_1"/>
      <w:bookmarkEnd w:id="87"/>
      <w:r>
        <w:rPr>
          <w:rFonts w:ascii="Times New Roman" w:hAnsi="Times New Roman" w:cs="Times New Roman"/>
          <w:color w:val="000000"/>
          <w:sz w:val="20"/>
          <w:szCs w:val="20"/>
        </w:rPr>
        <w:t xml:space="preserve"> The Court has found that at least three of the </w:t>
      </w:r>
      <w:hyperlink r:id="rId197"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factors warrant an upward adjustment of the benchmark percentage. Based on its observation and knowledge of the amount and nature of the common benefit work done in this case, the Court concludes that a reasonable adjustment is 0.5%. Accordingly, the Court</w:t>
      </w:r>
      <w:r>
        <w:rPr>
          <w:rFonts w:ascii="Times New Roman" w:hAnsi="Times New Roman" w:cs="Times New Roman"/>
          <w:color w:val="000000"/>
          <w:sz w:val="20"/>
          <w:szCs w:val="20"/>
        </w:rPr>
        <w:t xml:space="preserve"> will increase the benchmark percentage upward from 6% to 6.5% of $4,850,000,000, or $315,250,000. Primary </w:t>
      </w:r>
      <w:hyperlink r:id="rId198"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xml:space="preserve"> attorneys will still receive over 25% of the total settlement value in this matter, amounting to approximately $1,236,750,000. This should be adequate compensation for the primary</w:t>
      </w:r>
      <w:r>
        <w:rPr>
          <w:rFonts w:ascii="Times New Roman" w:hAnsi="Times New Roman" w:cs="Times New Roman"/>
          <w:color w:val="000000"/>
          <w:sz w:val="20"/>
          <w:szCs w:val="20"/>
        </w:rPr>
        <w:t xml:space="preserve"> attorneys, particularly in light of the benefits of economies of scale and for the relief of the burden of pretrial discovery and settlement negotiation.</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88" w:name="co_anchor_I95b00ddf9b6911e38578f7ccc38dc"/>
      <w:bookmarkEnd w:id="88"/>
    </w:p>
    <w:p w:rsidR="00000000" w:rsidRDefault="001C0C97">
      <w:pPr>
        <w:widowControl w:val="0"/>
        <w:autoSpaceDE w:val="0"/>
        <w:autoSpaceDN w:val="0"/>
        <w:adjustRightInd w:val="0"/>
        <w:spacing w:before="200"/>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C. Lodestar Cross</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Check</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To confirm that the determined percentage-fee value in this case is appropriate, the Court believes it is important to conduct a lodestar cross-check. In the cross-check, the Court multiplies the reasonable hours worked by reasonable billing rates to</w:t>
      </w:r>
      <w:r>
        <w:rPr>
          <w:rFonts w:ascii="Times New Roman" w:hAnsi="Times New Roman" w:cs="Times New Roman"/>
          <w:color w:val="000000"/>
          <w:sz w:val="20"/>
          <w:szCs w:val="20"/>
        </w:rPr>
        <w:t xml:space="preserve"> calculate a time-fee value for </w:t>
      </w:r>
      <w:r>
        <w:rPr>
          <w:rFonts w:ascii="Times New Roman" w:hAnsi="Times New Roman" w:cs="Times New Roman"/>
          <w:color w:val="000000"/>
          <w:sz w:val="20"/>
          <w:szCs w:val="20"/>
        </w:rPr>
        <w:lastRenderedPageBreak/>
        <w:t xml:space="preserve">the common benefit work performed. Then, the Court divides the percentage-fee value by the time-fee value to determine a lodestar multiplier and to test whether the percentage fee value represents an unreasonable award or </w:t>
      </w:r>
      <w:r>
        <w:rPr>
          <w:rFonts w:ascii="Times New Roman" w:hAnsi="Times New Roman" w:cs="Times New Roman"/>
          <w:color w:val="000000"/>
          <w:sz w:val="20"/>
          <w:szCs w:val="20"/>
        </w:rPr>
        <w:t>“</w:t>
      </w:r>
      <w:r>
        <w:rPr>
          <w:rFonts w:ascii="Times New Roman" w:hAnsi="Times New Roman" w:cs="Times New Roman"/>
          <w:color w:val="000000"/>
          <w:sz w:val="20"/>
          <w:szCs w:val="20"/>
        </w:rPr>
        <w:t>w</w:t>
      </w:r>
      <w:r>
        <w:rPr>
          <w:rFonts w:ascii="Times New Roman" w:hAnsi="Times New Roman" w:cs="Times New Roman"/>
          <w:color w:val="000000"/>
          <w:sz w:val="20"/>
          <w:szCs w:val="20"/>
        </w:rPr>
        <w:t>indfall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over the reasonable value of the work performed. </w:t>
      </w:r>
      <w:r>
        <w:rPr>
          <w:rFonts w:ascii="Times New Roman" w:hAnsi="Times New Roman" w:cs="Times New Roman"/>
          <w:i/>
          <w:iCs/>
          <w:color w:val="000000"/>
          <w:sz w:val="20"/>
          <w:szCs w:val="20"/>
        </w:rPr>
        <w:t xml:space="preserve">See, e.g., </w:t>
      </w:r>
      <w:hyperlink r:id="rId199" w:history="1">
        <w:r>
          <w:rPr>
            <w:rFonts w:ascii="Times New Roman" w:hAnsi="Times New Roman" w:cs="Times New Roman"/>
            <w:i/>
            <w:iCs/>
            <w:color w:val="000000"/>
            <w:sz w:val="20"/>
            <w:szCs w:val="20"/>
          </w:rPr>
          <w:t>In re Diet Drugs,</w:t>
        </w:r>
        <w:r>
          <w:rPr>
            <w:rFonts w:ascii="Times New Roman" w:hAnsi="Times New Roman" w:cs="Times New Roman"/>
            <w:color w:val="000000"/>
            <w:sz w:val="20"/>
            <w:szCs w:val="20"/>
          </w:rPr>
          <w:t xml:space="preserve"> 553 F.Supp.2d at 485</w:t>
        </w:r>
        <w:r>
          <w:rPr>
            <w:rFonts w:ascii="Times New Roman" w:hAnsi="Times New Roman" w:cs="Times New Roman"/>
            <w:color w:val="000000"/>
            <w:sz w:val="20"/>
            <w:szCs w:val="20"/>
          </w:rPr>
          <w:t>–</w:t>
        </w:r>
        <w:r>
          <w:rPr>
            <w:rFonts w:ascii="Times New Roman" w:hAnsi="Times New Roman" w:cs="Times New Roman"/>
            <w:color w:val="000000"/>
            <w:sz w:val="20"/>
            <w:szCs w:val="20"/>
          </w:rPr>
          <w:t>86.</w:t>
        </w:r>
      </w:hyperlink>
      <w:r>
        <w:rPr>
          <w:rFonts w:ascii="Times New Roman" w:hAnsi="Times New Roman" w:cs="Times New Roman"/>
          <w:color w:val="000000"/>
          <w:sz w:val="20"/>
          <w:szCs w:val="20"/>
        </w:rPr>
        <w:t xml:space="preserve"> This use of the lodestar as verification rather than as a method for determining a reasonable attorne</w:t>
      </w:r>
      <w:r>
        <w:rPr>
          <w:rFonts w:ascii="Times New Roman" w:hAnsi="Times New Roman" w:cs="Times New Roman"/>
          <w:color w:val="000000"/>
          <w:sz w:val="20"/>
          <w:szCs w:val="20"/>
        </w:rPr>
        <w:t>ys’ fee award dates to the mid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1990s, when courts sought to address some disadvantages to the percentage </w:t>
      </w:r>
      <w:bookmarkStart w:id="89" w:name="co_pp_sp_4637_659_1"/>
      <w:bookmarkEnd w:id="89"/>
      <w:r>
        <w:rPr>
          <w:rFonts w:ascii="Times New Roman" w:hAnsi="Times New Roman" w:cs="Times New Roman"/>
          <w:b/>
          <w:bCs/>
          <w:color w:val="000000"/>
          <w:sz w:val="20"/>
          <w:szCs w:val="20"/>
        </w:rPr>
        <w:t>*659</w:t>
      </w:r>
      <w:r>
        <w:rPr>
          <w:rFonts w:ascii="Times New Roman" w:hAnsi="Times New Roman" w:cs="Times New Roman"/>
          <w:color w:val="000000"/>
          <w:sz w:val="20"/>
          <w:szCs w:val="20"/>
        </w:rPr>
        <w:t xml:space="preserve"> method, such as a lack of guidance on how to adjust percentage fees in light of the circumstances of a parti</w:t>
      </w:r>
      <w:r>
        <w:rPr>
          <w:rFonts w:ascii="Times New Roman" w:hAnsi="Times New Roman" w:cs="Times New Roman"/>
          <w:color w:val="000000"/>
          <w:sz w:val="20"/>
          <w:szCs w:val="20"/>
        </w:rPr>
        <w:t xml:space="preserve">cular case.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Walker &amp; Horwich,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at 1458</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63 (tracing the evolution of the lodestar cross-check and its </w:t>
      </w:r>
      <w:r>
        <w:rPr>
          <w:rFonts w:ascii="Times New Roman" w:hAnsi="Times New Roman" w:cs="Times New Roman"/>
          <w:color w:val="000000"/>
          <w:sz w:val="20"/>
          <w:szCs w:val="20"/>
        </w:rPr>
        <w:t>“</w:t>
      </w:r>
      <w:r>
        <w:rPr>
          <w:rFonts w:ascii="Times New Roman" w:hAnsi="Times New Roman" w:cs="Times New Roman"/>
          <w:color w:val="000000"/>
          <w:sz w:val="20"/>
          <w:szCs w:val="20"/>
        </w:rPr>
        <w:t>rising use</w:t>
      </w:r>
      <w:r>
        <w:rPr>
          <w:rFonts w:ascii="Times New Roman" w:hAnsi="Times New Roman" w:cs="Times New Roman"/>
          <w:color w:val="000000"/>
          <w:sz w:val="20"/>
          <w:szCs w:val="20"/>
        </w:rPr>
        <w:t>”</w:t>
      </w:r>
      <w:r>
        <w:rPr>
          <w:rFonts w:ascii="Times New Roman" w:hAnsi="Times New Roman" w:cs="Times New Roman"/>
          <w:color w:val="000000"/>
          <w:sz w:val="20"/>
          <w:szCs w:val="20"/>
        </w:rPr>
        <w:t>). The application of the lodestar analysis as a cross-check is helpful in determining whether the benchmark percentage is reasonable</w:t>
      </w:r>
      <w:r>
        <w:rPr>
          <w:rFonts w:ascii="Times New Roman" w:hAnsi="Times New Roman" w:cs="Times New Roman"/>
          <w:color w:val="000000"/>
          <w:sz w:val="20"/>
          <w:szCs w:val="20"/>
        </w:rPr>
        <w:t xml:space="preserve"> given the circumstances of the case, and appropriate according to Fifth Circuit precedent. The lodestar cross-check is meant to be a rough analysis:</w:t>
      </w:r>
    </w:p>
    <w:p w:rsidR="00000000" w:rsidRDefault="001C0C97">
      <w:pPr>
        <w:widowControl w:val="0"/>
        <w:autoSpaceDE w:val="0"/>
        <w:autoSpaceDN w:val="0"/>
        <w:adjustRightInd w:val="0"/>
        <w:spacing w:before="250" w:after="50"/>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(It) need entail neither mathematical precision nor bean counting. For example, a court performing a lodestar cross-check need not scrutinize each time entry; reliance on representations by class counsel as to total hours may be sufficient.... Furthermore,</w:t>
      </w:r>
      <w:r>
        <w:rPr>
          <w:rFonts w:ascii="Times New Roman" w:hAnsi="Times New Roman" w:cs="Times New Roman"/>
          <w:color w:val="000000"/>
          <w:sz w:val="20"/>
          <w:szCs w:val="20"/>
        </w:rPr>
        <w:t xml:space="preserve"> the lodestar cross-check can be simplified by use of a blended hourly rate....</w:t>
      </w:r>
    </w:p>
    <w:p w:rsidR="00000000" w:rsidRDefault="001C0C97">
      <w:pPr>
        <w:widowControl w:val="0"/>
        <w:autoSpaceDE w:val="0"/>
        <w:autoSpaceDN w:val="0"/>
        <w:adjustRightInd w:val="0"/>
        <w:spacing w:before="200"/>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Walker &amp; Horwich,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at 1463</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64 (citing </w:t>
      </w:r>
      <w:hyperlink r:id="rId200" w:history="1">
        <w:r>
          <w:rPr>
            <w:rFonts w:ascii="Times New Roman" w:hAnsi="Times New Roman" w:cs="Times New Roman"/>
            <w:i/>
            <w:iCs/>
            <w:color w:val="000000"/>
            <w:sz w:val="20"/>
            <w:szCs w:val="20"/>
          </w:rPr>
          <w:t>In re Rite Aid Corp. Sec. Litig.,</w:t>
        </w:r>
        <w:r>
          <w:rPr>
            <w:rFonts w:ascii="Times New Roman" w:hAnsi="Times New Roman" w:cs="Times New Roman"/>
            <w:color w:val="000000"/>
            <w:sz w:val="20"/>
            <w:szCs w:val="20"/>
          </w:rPr>
          <w:t xml:space="preserve"> 396 F.3d 294, 306 (3d Cir.2005)</w:t>
        </w:r>
      </w:hyperlink>
      <w:r>
        <w:rPr>
          <w:rFonts w:ascii="Times New Roman" w:hAnsi="Times New Roman" w:cs="Times New Roman"/>
          <w:color w:val="000000"/>
          <w:sz w:val="20"/>
          <w:szCs w:val="20"/>
        </w:rPr>
        <w:t>).</w:t>
      </w:r>
      <w:bookmarkStart w:id="90" w:name="co_footnoteReference_B020202024375594_ID"/>
      <w:bookmarkEnd w:id="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"#co_footnote_B020202024375594_1"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20</w:t>
      </w:r>
      <w:r>
        <w:rPr>
          <w:rFonts w:ascii="Times New Roman" w:hAnsi="Times New Roman" w:cs="Times New Roman"/>
          <w:color w:val="000000"/>
          <w:sz w:val="16"/>
          <w:szCs w:val="16"/>
        </w:rPr>
        <w:fldChar w:fldCharType="end"/>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91" w:name="co_footnote_B020202024375594_1"/>
          <w:bookmarkEnd w:id="91"/>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"#co_footnoteReference_B020202024375594_ID"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20</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A district court’</w:t>
            </w:r>
            <w:r>
              <w:rPr>
                <w:rFonts w:ascii="Times New Roman" w:hAnsi="Times New Roman" w:cs="Times New Roman"/>
                <w:color w:val="000000"/>
                <w:sz w:val="18"/>
                <w:szCs w:val="18"/>
              </w:rPr>
              <w:t>s scrutinizing of attorney time includes painstaking review of each time entry under the lodestar procedure. The experience level of the attorney and the type of work performed may reduce the hourly rate. For example, the district court may ask such questi</w:t>
            </w:r>
            <w:r>
              <w:rPr>
                <w:rFonts w:ascii="Times New Roman" w:hAnsi="Times New Roman" w:cs="Times New Roman"/>
                <w:color w:val="000000"/>
                <w:sz w:val="18"/>
                <w:szCs w:val="18"/>
              </w:rPr>
              <w:t>ons as whether the attorney was conducting the deposition or only attending a deposition; whether he or she was traveling at the time or in the office, or how many years of experience the attorney possessed. The court also compares and cross-checks the ent</w:t>
            </w:r>
            <w:r>
              <w:rPr>
                <w:rFonts w:ascii="Times New Roman" w:hAnsi="Times New Roman" w:cs="Times New Roman"/>
                <w:color w:val="000000"/>
                <w:sz w:val="18"/>
                <w:szCs w:val="18"/>
              </w:rPr>
              <w:t>ries of different attorneys to ensure that any duplication of effort is accounted for and no over-billing occurs. These are just some examples, by no means exhaustive, of the detailed and time-consuming tasks required of the district court if the tradition</w:t>
            </w:r>
            <w:r>
              <w:rPr>
                <w:rFonts w:ascii="Times New Roman" w:hAnsi="Times New Roman" w:cs="Times New Roman"/>
                <w:color w:val="000000"/>
                <w:sz w:val="18"/>
                <w:szCs w:val="18"/>
              </w:rPr>
              <w:t xml:space="preserve">al lodestar method is </w:t>
            </w:r>
            <w:r>
              <w:rPr>
                <w:rFonts w:ascii="Times New Roman" w:hAnsi="Times New Roman" w:cs="Times New Roman"/>
                <w:color w:val="000000"/>
                <w:sz w:val="18"/>
                <w:szCs w:val="18"/>
              </w:rPr>
              <w:t>faithfully applied.</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cross-check process begins with an analysis of the time logged and the appropriate hourly rate to be assigned. To assist in this process, the Court approved the retention of Philip Garrett, CPA, to receive, </w:t>
      </w:r>
      <w:r>
        <w:rPr>
          <w:rFonts w:ascii="Times New Roman" w:hAnsi="Times New Roman" w:cs="Times New Roman"/>
          <w:color w:val="000000"/>
          <w:sz w:val="20"/>
          <w:szCs w:val="20"/>
        </w:rPr>
        <w:t>compile, and report the common benefit time and expense submissions of counsel. Mr. Garrett provided monthly reports of time and expenses submitted by the PLC pursuant to procedures set forth in Pretrial Order 6. The Court has reviewed these reports throug</w:t>
      </w:r>
      <w:r>
        <w:rPr>
          <w:rFonts w:ascii="Times New Roman" w:hAnsi="Times New Roman" w:cs="Times New Roman"/>
          <w:color w:val="000000"/>
          <w:sz w:val="20"/>
          <w:szCs w:val="20"/>
        </w:rPr>
        <w:t>hout the litigation.</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With respect to the number of common benefit hours submitted, Mr. Garrett provided summaries in connection with the PLC’s motion in January, 2009, and again in July, 2010. In the January, 2009 report he presented a figure of 503,185 </w:t>
      </w:r>
      <w:r>
        <w:rPr>
          <w:rFonts w:ascii="Times New Roman" w:hAnsi="Times New Roman" w:cs="Times New Roman"/>
          <w:color w:val="000000"/>
          <w:sz w:val="20"/>
          <w:szCs w:val="20"/>
        </w:rPr>
        <w:t xml:space="preserve">hours of common benefit work reported by attorneys from 109 firms. Mr. Garrett in an affidavit explained the procedures he followed to vet and disallow inadequately detailed submissions, pursuant to which the submitters </w:t>
      </w:r>
      <w:r>
        <w:rPr>
          <w:rFonts w:ascii="Times New Roman" w:hAnsi="Times New Roman" w:cs="Times New Roman"/>
          <w:color w:val="000000"/>
          <w:sz w:val="20"/>
          <w:szCs w:val="20"/>
        </w:rPr>
        <w:t>“</w:t>
      </w:r>
      <w:r>
        <w:rPr>
          <w:rFonts w:ascii="Times New Roman" w:hAnsi="Times New Roman" w:cs="Times New Roman"/>
          <w:color w:val="000000"/>
          <w:sz w:val="20"/>
          <w:szCs w:val="20"/>
        </w:rPr>
        <w:t>voluntarily withdrew from inclusion</w:t>
      </w:r>
      <w:r>
        <w:rPr>
          <w:rFonts w:ascii="Times New Roman" w:hAnsi="Times New Roman" w:cs="Times New Roman"/>
          <w:color w:val="000000"/>
          <w:sz w:val="20"/>
          <w:szCs w:val="20"/>
        </w:rPr>
        <w:t xml:space="preserve"> in the collective lodestar analysis substantial submissions of hours of time having a significant lodestar value.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Mr. Garrett later submitted an updated collective calculation for common benefit work through July 30, 2010. The updated submission accounts</w:t>
      </w:r>
      <w:r>
        <w:rPr>
          <w:rFonts w:ascii="Times New Roman" w:hAnsi="Times New Roman" w:cs="Times New Roman"/>
          <w:color w:val="000000"/>
          <w:sz w:val="20"/>
          <w:szCs w:val="20"/>
        </w:rPr>
        <w:t xml:space="preserve"> for approximately 562,943.55 hours of professional time submitted by 109 law firms as of July 30, 2010.</w:t>
      </w:r>
      <w:bookmarkStart w:id="92" w:name="co_footnoteReference_B021212024375594_ID"/>
      <w:bookmarkEnd w:id="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"#co_footnote_B021212024375594_1"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Those updated submissi</w:t>
      </w:r>
      <w:r>
        <w:rPr>
          <w:rFonts w:ascii="Times New Roman" w:hAnsi="Times New Roman" w:cs="Times New Roman"/>
          <w:color w:val="000000"/>
          <w:sz w:val="20"/>
          <w:szCs w:val="20"/>
        </w:rPr>
        <w:t xml:space="preserve">ons were also subjected to the same vetting procedures. Thus, the PLC has submitted documentation of 562,943.55 hours, which has been </w:t>
      </w:r>
      <w:bookmarkStart w:id="93" w:name="co_pp_sp_4637_660_1"/>
      <w:bookmarkEnd w:id="93"/>
      <w:r>
        <w:rPr>
          <w:rFonts w:ascii="Times New Roman" w:hAnsi="Times New Roman" w:cs="Times New Roman"/>
          <w:b/>
          <w:bCs/>
          <w:color w:val="000000"/>
          <w:sz w:val="20"/>
          <w:szCs w:val="20"/>
        </w:rPr>
        <w:t>*660</w:t>
      </w:r>
      <w:r>
        <w:rPr>
          <w:rFonts w:ascii="Times New Roman" w:hAnsi="Times New Roman" w:cs="Times New Roman"/>
          <w:color w:val="000000"/>
          <w:sz w:val="20"/>
          <w:szCs w:val="20"/>
        </w:rPr>
        <w:t xml:space="preserve"> checked and approved by the Court-appointed CPA. The Court finds those hours to</w:t>
      </w:r>
      <w:r>
        <w:rPr>
          <w:rFonts w:ascii="Times New Roman" w:hAnsi="Times New Roman" w:cs="Times New Roman"/>
          <w:color w:val="000000"/>
          <w:sz w:val="20"/>
          <w:szCs w:val="20"/>
        </w:rPr>
        <w:t xml:space="preserve"> be reliable and supported in light of the procedures put in place by PTO 6 and implemented by Mr. Garrett.</w:t>
      </w:r>
      <w:bookmarkStart w:id="94" w:name="co_footnoteReference_B022222024375594_ID"/>
      <w:bookmarkEnd w:id="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"#co_footnote_B022222024375594_1"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22</w:t>
      </w:r>
      <w:r>
        <w:rPr>
          <w:rFonts w:ascii="Times New Roman" w:hAnsi="Times New Roman" w:cs="Times New Roman"/>
          <w:color w:val="000000"/>
          <w:sz w:val="16"/>
          <w:szCs w:val="16"/>
        </w:rPr>
        <w:fldChar w:fldCharType="end"/>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95" w:name="co_footnote_B021212024375594_1"/>
          <w:bookmarkEnd w:id="95"/>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"#co_footnoteReference_B021212024375594_ID"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21</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The PLC also submitted a compilation of time reports disclosing that up to July 7, 2010, attorneys had submitted 448,195.95 hours. Thus, out of the 562,943.55 hours submitted through July 30, 2010, at least 79.6% of the hours submitted for the lodestar cal</w:t>
            </w:r>
            <w:r>
              <w:rPr>
                <w:rFonts w:ascii="Times New Roman" w:hAnsi="Times New Roman" w:cs="Times New Roman"/>
                <w:color w:val="000000"/>
                <w:sz w:val="18"/>
                <w:szCs w:val="18"/>
              </w:rPr>
              <w:t xml:space="preserve">culation were attorney hours, rather than hours worked by paralegals or others. The PLC also submitted individual breakdowns of each attorney’s hours, without specifying whether the attorney is a partner or associate, or the attorney’s hourly rate used in </w:t>
            </w:r>
            <w:r>
              <w:rPr>
                <w:rFonts w:ascii="Times New Roman" w:hAnsi="Times New Roman" w:cs="Times New Roman"/>
                <w:color w:val="000000"/>
                <w:sz w:val="18"/>
                <w:szCs w:val="18"/>
              </w:rPr>
              <w:t>calculating the lodestar. The PLC did not submit the ratio of partner to associate hours.</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96" w:name="co_footnote_B022222024375594_1"/>
          <w:bookmarkEnd w:id="96"/>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"#co_footnoteReference_B022222024375594_ID"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22</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This finding is sufficient for the purpose</w:t>
            </w:r>
            <w:r>
              <w:rPr>
                <w:rFonts w:ascii="Times New Roman" w:hAnsi="Times New Roman" w:cs="Times New Roman"/>
                <w:color w:val="000000"/>
                <w:sz w:val="18"/>
                <w:szCs w:val="18"/>
              </w:rPr>
              <w:t>s of the rough lodestar cross-check. This finding does not preclude the Allocation Committee or the Court from disallowing any particular submissions of common benefit time when allocating the common benefit fee award.</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With respect to the appropriate ho</w:t>
      </w:r>
      <w:r>
        <w:rPr>
          <w:rFonts w:ascii="Times New Roman" w:hAnsi="Times New Roman" w:cs="Times New Roman"/>
          <w:color w:val="000000"/>
          <w:sz w:val="20"/>
          <w:szCs w:val="20"/>
        </w:rPr>
        <w:t>urly rate, Mr. Garrett utilized each individual submitter’s actual reported billing rate. In connection with the January 2009 report, the average billing rate for all partner, associate, and other professional common benefit time was $431.51 per hour. In c</w:t>
      </w:r>
      <w:r>
        <w:rPr>
          <w:rFonts w:ascii="Times New Roman" w:hAnsi="Times New Roman" w:cs="Times New Roman"/>
          <w:color w:val="000000"/>
          <w:sz w:val="20"/>
          <w:szCs w:val="20"/>
        </w:rPr>
        <w:t>onnection with the July 2010 updated report, the average billing rate for all partner, associate, and other professional common benefit time was $443.29 per hour. The Court recognizes that attorneys from across the country contributed common benefit work t</w:t>
      </w:r>
      <w:r>
        <w:rPr>
          <w:rFonts w:ascii="Times New Roman" w:hAnsi="Times New Roman" w:cs="Times New Roman"/>
          <w:color w:val="000000"/>
          <w:sz w:val="20"/>
          <w:szCs w:val="20"/>
        </w:rPr>
        <w:t xml:space="preserve">o the MDL, and that billing rates vary among legal markets. The Court has previously used a range of $300 to $400 per hour for members of a Plaintiffs’ Steering Committee and $100 to $200 per hour for associates to </w:t>
      </w:r>
      <w:r>
        <w:rPr>
          <w:rFonts w:ascii="Times New Roman" w:hAnsi="Times New Roman" w:cs="Times New Roman"/>
          <w:color w:val="000000"/>
          <w:sz w:val="20"/>
          <w:szCs w:val="20"/>
        </w:rPr>
        <w:t>“</w:t>
      </w:r>
      <w:r>
        <w:rPr>
          <w:rFonts w:ascii="Times New Roman" w:hAnsi="Times New Roman" w:cs="Times New Roman"/>
          <w:color w:val="000000"/>
          <w:sz w:val="20"/>
          <w:szCs w:val="20"/>
        </w:rPr>
        <w:t>reasonably reflect the prevailing [billa</w:t>
      </w:r>
      <w:r>
        <w:rPr>
          <w:rFonts w:ascii="Times New Roman" w:hAnsi="Times New Roman" w:cs="Times New Roman"/>
          <w:color w:val="000000"/>
          <w:sz w:val="20"/>
          <w:szCs w:val="20"/>
        </w:rPr>
        <w:t xml:space="preserve">ble time] rates in </w:t>
      </w:r>
      <w:r>
        <w:rPr>
          <w:rFonts w:ascii="Times New Roman" w:hAnsi="Times New Roman" w:cs="Times New Roman"/>
          <w:i/>
          <w:iCs/>
          <w:color w:val="000000"/>
          <w:sz w:val="20"/>
          <w:szCs w:val="20"/>
        </w:rPr>
        <w:t>this</w:t>
      </w:r>
      <w:r>
        <w:rPr>
          <w:rFonts w:ascii="Times New Roman" w:hAnsi="Times New Roman" w:cs="Times New Roman"/>
          <w:color w:val="000000"/>
          <w:sz w:val="20"/>
          <w:szCs w:val="20"/>
        </w:rPr>
        <w:t xml:space="preserve"> jurisdiction.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01" w:history="1">
        <w:r>
          <w:rPr>
            <w:rFonts w:ascii="Times New Roman" w:hAnsi="Times New Roman" w:cs="Times New Roman"/>
            <w:i/>
            <w:iCs/>
            <w:color w:val="000000"/>
            <w:sz w:val="20"/>
            <w:szCs w:val="20"/>
          </w:rPr>
          <w:t>Murphy Oil,</w:t>
        </w:r>
        <w:r>
          <w:rPr>
            <w:rFonts w:ascii="Times New Roman" w:hAnsi="Times New Roman" w:cs="Times New Roman"/>
            <w:color w:val="000000"/>
            <w:sz w:val="20"/>
            <w:szCs w:val="20"/>
          </w:rPr>
          <w:t xml:space="preserve"> 472 F.Supp.2d at 868</w:t>
        </w:r>
        <w:r>
          <w:rPr>
            <w:rFonts w:ascii="Times New Roman" w:hAnsi="Times New Roman" w:cs="Times New Roman"/>
            <w:color w:val="000000"/>
            <w:sz w:val="20"/>
            <w:szCs w:val="20"/>
          </w:rPr>
          <w:t>–</w:t>
        </w:r>
        <w:r>
          <w:rPr>
            <w:rFonts w:ascii="Times New Roman" w:hAnsi="Times New Roman" w:cs="Times New Roman"/>
            <w:color w:val="000000"/>
            <w:sz w:val="20"/>
            <w:szCs w:val="20"/>
          </w:rPr>
          <w:t>69</w:t>
        </w:r>
      </w:hyperlink>
      <w:r>
        <w:rPr>
          <w:rFonts w:ascii="Times New Roman" w:hAnsi="Times New Roman" w:cs="Times New Roman"/>
          <w:color w:val="000000"/>
          <w:sz w:val="20"/>
          <w:szCs w:val="20"/>
        </w:rPr>
        <w:t xml:space="preserve"> (emphasis added). But in </w:t>
      </w:r>
      <w:hyperlink r:id="rId202" w:history="1">
        <w:r>
          <w:rPr>
            <w:rFonts w:ascii="Times New Roman" w:hAnsi="Times New Roman" w:cs="Times New Roman"/>
            <w:i/>
            <w:iCs/>
            <w:color w:val="000000"/>
            <w:sz w:val="20"/>
            <w:szCs w:val="20"/>
          </w:rPr>
          <w:t>Murphy Oil,</w:t>
        </w:r>
      </w:hyperlink>
      <w:r>
        <w:rPr>
          <w:rFonts w:ascii="Times New Roman" w:hAnsi="Times New Roman" w:cs="Times New Roman"/>
          <w:color w:val="000000"/>
          <w:sz w:val="20"/>
          <w:szCs w:val="20"/>
        </w:rPr>
        <w:t xml:space="preserve"> all of the attorneys were local to the Eastern District of Louisiana so it was appropriate to use a rate cons</w:t>
      </w:r>
      <w:r>
        <w:rPr>
          <w:rFonts w:ascii="Times New Roman" w:hAnsi="Times New Roman" w:cs="Times New Roman"/>
          <w:color w:val="000000"/>
          <w:sz w:val="20"/>
          <w:szCs w:val="20"/>
        </w:rPr>
        <w:t xml:space="preserve">istent with local standards. In </w:t>
      </w:r>
      <w:hyperlink r:id="rId203" w:history="1">
        <w:r>
          <w:rPr>
            <w:rFonts w:ascii="Times New Roman" w:hAnsi="Times New Roman" w:cs="Times New Roman"/>
            <w:color w:val="000000"/>
            <w:sz w:val="20"/>
            <w:szCs w:val="20"/>
          </w:rPr>
          <w:t>Vioxx</w:t>
        </w:r>
      </w:hyperlink>
      <w:r>
        <w:rPr>
          <w:rFonts w:ascii="Times New Roman" w:hAnsi="Times New Roman" w:cs="Times New Roman"/>
          <w:color w:val="000000"/>
          <w:sz w:val="20"/>
          <w:szCs w:val="20"/>
        </w:rPr>
        <w:t>, on the other hand, the attorneys come from states across the country. Thus a more national rate is the appropriate pole star to guide the Court. Although the Court has not been provided with the individual attorney billing rates used by Mr. Garrett to c</w:t>
      </w:r>
      <w:r>
        <w:rPr>
          <w:rFonts w:ascii="Times New Roman" w:hAnsi="Times New Roman" w:cs="Times New Roman"/>
          <w:color w:val="000000"/>
          <w:sz w:val="20"/>
          <w:szCs w:val="20"/>
        </w:rPr>
        <w:t>alculate the lodestar, for the purposes of the lodestar cross-check the Court need not crunch the numbers for individual attorneys and other legal professionals from 109 law firms across the country, or to apply a single billing structure.</w:t>
      </w:r>
      <w:bookmarkStart w:id="97" w:name="co_footnoteReference_B023232024375594_ID"/>
      <w:bookmarkEnd w:id="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"#co_footnote_B023232024375594_1"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finds that the hourly</w:t>
      </w:r>
      <w:r>
        <w:rPr>
          <w:rFonts w:ascii="Times New Roman" w:hAnsi="Times New Roman" w:cs="Times New Roman"/>
          <w:color w:val="000000"/>
          <w:sz w:val="20"/>
          <w:szCs w:val="20"/>
        </w:rPr>
        <w:t xml:space="preserve"> rate of $443.29 (the average of the billing rates for common benefit submitters) is an appropriate hourly rate from which to start the analysis in view of the fact that it is a combined rate and does not distinguish between work done by various level of a</w:t>
      </w:r>
      <w:r>
        <w:rPr>
          <w:rFonts w:ascii="Times New Roman" w:hAnsi="Times New Roman" w:cs="Times New Roman"/>
          <w:color w:val="000000"/>
          <w:sz w:val="20"/>
          <w:szCs w:val="20"/>
        </w:rPr>
        <w:t xml:space="preserve">ttorneys including the work done by others. Further, this rate is in line with hourly rates used by other courts supervising other national MDLs. </w:t>
      </w:r>
      <w:r>
        <w:rPr>
          <w:rFonts w:ascii="Times New Roman" w:hAnsi="Times New Roman" w:cs="Times New Roman"/>
          <w:i/>
          <w:iCs/>
          <w:color w:val="000000"/>
          <w:sz w:val="20"/>
          <w:szCs w:val="20"/>
        </w:rPr>
        <w:t xml:space="preserve">E.g., </w:t>
      </w:r>
      <w:hyperlink r:id="rId204" w:history="1">
        <w:r>
          <w:rPr>
            <w:rFonts w:ascii="Times New Roman" w:hAnsi="Times New Roman" w:cs="Times New Roman"/>
            <w:i/>
            <w:iCs/>
            <w:color w:val="000000"/>
            <w:sz w:val="20"/>
            <w:szCs w:val="20"/>
          </w:rPr>
          <w:t>In re Guidant,</w:t>
        </w:r>
        <w:r>
          <w:rPr>
            <w:rFonts w:ascii="Times New Roman" w:hAnsi="Times New Roman" w:cs="Times New Roman"/>
            <w:color w:val="000000"/>
            <w:sz w:val="20"/>
            <w:szCs w:val="20"/>
          </w:rPr>
          <w:t xml:space="preserve"> 2008 WL 682174, at *15 (D.Minn. Mar. 7, 2008)</w:t>
        </w:r>
      </w:hyperlink>
      <w:r>
        <w:rPr>
          <w:rFonts w:ascii="Times New Roman" w:hAnsi="Times New Roman" w:cs="Times New Roman"/>
          <w:color w:val="000000"/>
          <w:sz w:val="20"/>
          <w:szCs w:val="20"/>
        </w:rPr>
        <w:t xml:space="preserve"> (average attorney rate of $379.40 pe</w:t>
      </w:r>
      <w:r>
        <w:rPr>
          <w:rFonts w:ascii="Times New Roman" w:hAnsi="Times New Roman" w:cs="Times New Roman"/>
          <w:color w:val="000000"/>
          <w:sz w:val="20"/>
          <w:szCs w:val="20"/>
        </w:rPr>
        <w:t>r hour and paralegal rate of $127.49 per hour).</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98" w:name="co_footnote_B023232024375594_1"/>
          <w:bookmarkEnd w:id="98"/>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"#co_footnoteReference_B023232024375594_ID"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23</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i/>
                <w:iCs/>
                <w:color w:val="000000"/>
                <w:sz w:val="18"/>
                <w:szCs w:val="18"/>
              </w:rPr>
              <w:t xml:space="preserve">See </w:t>
            </w:r>
            <w:hyperlink r:id="rId205" w:history="1">
              <w:r>
                <w:rPr>
                  <w:rFonts w:ascii="Times New Roman" w:hAnsi="Times New Roman" w:cs="Times New Roman"/>
                  <w:i/>
                  <w:iCs/>
                  <w:color w:val="000000"/>
                  <w:sz w:val="18"/>
                  <w:szCs w:val="18"/>
                </w:rPr>
                <w:t>In re Orthopedic Bone Screw,</w:t>
              </w:r>
              <w:r>
                <w:rPr>
                  <w:rFonts w:ascii="Times New Roman" w:hAnsi="Times New Roman" w:cs="Times New Roman"/>
                  <w:color w:val="000000"/>
                  <w:sz w:val="18"/>
                  <w:szCs w:val="18"/>
                </w:rPr>
                <w:t xml:space="preserve"> 2000 WL 1622741, at *8 n. 18</w:t>
              </w:r>
            </w:hyperlink>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[T]he hourly rate </w:t>
            </w:r>
            <w:r>
              <w:rPr>
                <w:rFonts w:ascii="Times New Roman" w:hAnsi="Times New Roman" w:cs="Times New Roman"/>
                <w:color w:val="000000"/>
                <w:sz w:val="18"/>
                <w:szCs w:val="18"/>
              </w:rPr>
              <w:t xml:space="preserve">to be used in computing counsel’s lodestar is the rate that is normally charged by counsel of comparable standing, reputation, </w:t>
            </w:r>
            <w:r>
              <w:rPr>
                <w:rFonts w:ascii="Times New Roman" w:hAnsi="Times New Roman" w:cs="Times New Roman"/>
                <w:color w:val="000000"/>
                <w:sz w:val="18"/>
                <w:szCs w:val="18"/>
              </w:rPr>
              <w:t xml:space="preserve">experience and ability in the community where counsel practices Presumptively, this is the attorney’s </w:t>
            </w:r>
            <w:r>
              <w:rPr>
                <w:rFonts w:ascii="Times New Roman" w:hAnsi="Times New Roman" w:cs="Times New Roman"/>
                <w:color w:val="000000"/>
                <w:sz w:val="18"/>
                <w:szCs w:val="18"/>
              </w:rPr>
              <w:t>‘</w:t>
            </w:r>
            <w:r>
              <w:rPr>
                <w:rFonts w:ascii="Times New Roman" w:hAnsi="Times New Roman" w:cs="Times New Roman"/>
                <w:color w:val="000000"/>
                <w:sz w:val="18"/>
                <w:szCs w:val="18"/>
              </w:rPr>
              <w:t>usual</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billing rate.</w:t>
            </w:r>
            <w:r>
              <w:rPr>
                <w:rFonts w:ascii="Times New Roman" w:hAnsi="Times New Roman" w:cs="Times New Roman"/>
                <w:color w:val="000000"/>
                <w:sz w:val="18"/>
                <w:szCs w:val="18"/>
              </w:rPr>
              <w:t>”</w:t>
            </w:r>
            <w:r>
              <w:rPr>
                <w:rFonts w:ascii="Times New Roman" w:hAnsi="Times New Roman" w:cs="Times New Roman"/>
                <w:color w:val="000000"/>
                <w:sz w:val="18"/>
                <w:szCs w:val="18"/>
              </w:rPr>
              <w:t>).</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Utilizing the reasonable amounts for the number of hours worked and the averaged billing rate, Mr. Garrett calculated several collective time-fee values for the common benefit services. Through January 2009, he multiplied each individual’s hours, totaling</w:t>
      </w:r>
      <w:r>
        <w:rPr>
          <w:rFonts w:ascii="Times New Roman" w:hAnsi="Times New Roman" w:cs="Times New Roman"/>
          <w:color w:val="000000"/>
          <w:sz w:val="20"/>
          <w:szCs w:val="20"/>
        </w:rPr>
        <w:t xml:space="preserve"> 503,185 hours of common benefit work, by that individual’s actual billing rate, averaging $431.51 per hour, to calculate a time-fee value for all common benefit work through January, 14, 2009, of $217,128,800.40.</w:t>
      </w:r>
      <w:bookmarkStart w:id="99" w:name="co_footnoteReference_B024242024375594_ID"/>
      <w:bookmarkEnd w:id="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"#co_footnote_B024242024375594_1"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Mr. Garrett updated his time-fee value calculation for additional hours submitted through July 30, 2010. </w:t>
      </w:r>
      <w:bookmarkStart w:id="100" w:name="co_pp_sp_4637_661_1"/>
      <w:bookmarkEnd w:id="100"/>
      <w:r>
        <w:rPr>
          <w:rFonts w:ascii="Times New Roman" w:hAnsi="Times New Roman" w:cs="Times New Roman"/>
          <w:b/>
          <w:bCs/>
          <w:color w:val="000000"/>
          <w:sz w:val="20"/>
          <w:szCs w:val="20"/>
        </w:rPr>
        <w:t>*661</w:t>
      </w:r>
      <w:r>
        <w:rPr>
          <w:rFonts w:ascii="Times New Roman" w:hAnsi="Times New Roman" w:cs="Times New Roman"/>
          <w:color w:val="000000"/>
          <w:sz w:val="20"/>
          <w:szCs w:val="20"/>
        </w:rPr>
        <w:t xml:space="preserve"> He multiplied each su</w:t>
      </w:r>
      <w:r>
        <w:rPr>
          <w:rFonts w:ascii="Times New Roman" w:hAnsi="Times New Roman" w:cs="Times New Roman"/>
          <w:color w:val="000000"/>
          <w:sz w:val="20"/>
          <w:szCs w:val="20"/>
        </w:rPr>
        <w:t>bmitting individual’s hours, totaling 562,943.55 hours of common benefit work, by that individual’s actual billing rate, averaging $443.29 per hour, to generate a total time-fee value for all common benefit work through July 30, 2010, of $249,546,751.20. T</w:t>
      </w:r>
      <w:r>
        <w:rPr>
          <w:rFonts w:ascii="Times New Roman" w:hAnsi="Times New Roman" w:cs="Times New Roman"/>
          <w:color w:val="000000"/>
          <w:sz w:val="20"/>
          <w:szCs w:val="20"/>
        </w:rPr>
        <w:t>he Court has found that the submitted hours are reasonable and that the actual billing rates which average $443.29 are reasonable. Accordingly, the Court accepts Mr. Garrett’s calculation of a time-fee value of $249,546,751.20 for all common benefit work p</w:t>
      </w:r>
      <w:r>
        <w:rPr>
          <w:rFonts w:ascii="Times New Roman" w:hAnsi="Times New Roman" w:cs="Times New Roman"/>
          <w:color w:val="000000"/>
          <w:sz w:val="20"/>
          <w:szCs w:val="20"/>
        </w:rPr>
        <w:t>erformed through July 30, 2010.</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01" w:name="co_footnote_B024242024375594_1"/>
          <w:bookmarkEnd w:id="101"/>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"#co_footnoteReference_B024242024375594_ID"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24</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Mr. Garrett also calculated a time-fee value using the same number of hours, but multiplying those hours by the highest billing rate of each category of submitter, such as partner, associate, or paralegal. The highest billing rate time-fee value was $321,8</w:t>
            </w:r>
            <w:r>
              <w:rPr>
                <w:rFonts w:ascii="Times New Roman" w:hAnsi="Times New Roman" w:cs="Times New Roman"/>
                <w:color w:val="000000"/>
                <w:sz w:val="18"/>
                <w:szCs w:val="18"/>
              </w:rPr>
              <w:t>97,534.95, which reflects an average billing rate of $639.72 per hour.</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next step in the lodestar cross-check is to compare the time-fee value to the Court’s adjusted percentage-fee value and determine whether a lodestar multiplier is warranted.</w:t>
      </w:r>
      <w:bookmarkStart w:id="102" w:name="co_footnoteReference_B025252024375594_ID"/>
      <w:bookmarkEnd w:id="1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"#co_footnote_B025252024375594_1"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That is to say, the Court must verify its percentage calculation and determine whether the percentage fee should be increased or de</w:t>
      </w:r>
      <w:r>
        <w:rPr>
          <w:rFonts w:ascii="Times New Roman" w:hAnsi="Times New Roman" w:cs="Times New Roman"/>
          <w:color w:val="000000"/>
          <w:sz w:val="20"/>
          <w:szCs w:val="20"/>
        </w:rPr>
        <w:t xml:space="preserve">creased in view of other factors. The use of a multiplier is not mandatory and depends on the circumstances of the case. Indeed, a multiplier may not be warranted if the time-fee value adequately compensates the attorneys for their services. </w:t>
      </w:r>
      <w:r>
        <w:rPr>
          <w:rFonts w:ascii="Times New Roman" w:hAnsi="Times New Roman" w:cs="Times New Roman"/>
          <w:i/>
          <w:iCs/>
          <w:color w:val="000000"/>
          <w:sz w:val="20"/>
          <w:szCs w:val="20"/>
        </w:rPr>
        <w:t xml:space="preserve">See, e.g., </w:t>
      </w:r>
      <w:hyperlink r:id="rId206" w:history="1">
        <w:r>
          <w:rPr>
            <w:rFonts w:ascii="Times New Roman" w:hAnsi="Times New Roman" w:cs="Times New Roman"/>
            <w:i/>
            <w:iCs/>
            <w:color w:val="000000"/>
            <w:sz w:val="20"/>
            <w:szCs w:val="20"/>
          </w:rPr>
          <w:t>Strong,</w:t>
        </w:r>
        <w:r>
          <w:rPr>
            <w:rFonts w:ascii="Times New Roman" w:hAnsi="Times New Roman" w:cs="Times New Roman"/>
            <w:color w:val="000000"/>
            <w:sz w:val="20"/>
            <w:szCs w:val="20"/>
          </w:rPr>
          <w:t xml:space="preserve"> 137 F.3d at 851</w:t>
        </w:r>
      </w:hyperlink>
      <w:r>
        <w:rPr>
          <w:rFonts w:ascii="Times New Roman" w:hAnsi="Times New Roman" w:cs="Times New Roman"/>
          <w:color w:val="000000"/>
          <w:sz w:val="20"/>
          <w:szCs w:val="20"/>
        </w:rPr>
        <w:t xml:space="preserve"> (affirming district court decision not to use multiplier to award additional fees). In the present case, however, the Court has already considered the </w:t>
      </w:r>
      <w:hyperlink r:id="rId207" w:history="1">
        <w:r>
          <w:rPr>
            <w:rFonts w:ascii="Times New Roman" w:hAnsi="Times New Roman" w:cs="Times New Roman"/>
            <w:i/>
            <w:iCs/>
            <w:color w:val="000000"/>
            <w:sz w:val="20"/>
            <w:szCs w:val="20"/>
          </w:rPr>
          <w:t>Johnson</w:t>
        </w:r>
      </w:hyperlink>
      <w:r>
        <w:rPr>
          <w:rFonts w:ascii="Times New Roman" w:hAnsi="Times New Roman" w:cs="Times New Roman"/>
          <w:color w:val="000000"/>
          <w:sz w:val="20"/>
          <w:szCs w:val="20"/>
        </w:rPr>
        <w:t xml:space="preserve"> factors and concluded that a 0.5% increase i</w:t>
      </w:r>
      <w:r>
        <w:rPr>
          <w:rFonts w:ascii="Times New Roman" w:hAnsi="Times New Roman" w:cs="Times New Roman"/>
          <w:color w:val="000000"/>
          <w:sz w:val="20"/>
          <w:szCs w:val="20"/>
        </w:rPr>
        <w:t xml:space="preserve">n the benchmark percentage is warranted. </w:t>
      </w:r>
      <w:r>
        <w:rPr>
          <w:rFonts w:ascii="Times New Roman" w:hAnsi="Times New Roman" w:cs="Times New Roman"/>
          <w:color w:val="000000"/>
          <w:sz w:val="20"/>
          <w:szCs w:val="20"/>
        </w:rPr>
        <w:lastRenderedPageBreak/>
        <w:t>Therefore, it is appropriate to allow for an appropriate lodestar multiplier to the time-fee value in performing the lodestar cross-check.</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03" w:name="co_footnote_B025252024375594_1"/>
          <w:bookmarkEnd w:id="103"/>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w:instrText>
            </w:r>
            <w:r>
              <w:rPr>
                <w:rFonts w:ascii="Times New Roman" w:hAnsi="Times New Roman" w:cs="Times New Roman"/>
                <w:color w:val="000000"/>
                <w:sz w:val="20"/>
                <w:szCs w:val="20"/>
              </w:rPr>
              <w:instrText xml:space="preserve">_footnoteReference_B025252024375594_ID"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25</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The Supreme Court recently addressed lodestar and lodestar multiplier analysis in the context of a civil rights fee-shifting statute. </w:t>
            </w:r>
            <w:hyperlink r:id="rId208" w:history="1">
              <w:r>
                <w:rPr>
                  <w:rFonts w:ascii="Times New Roman" w:hAnsi="Times New Roman" w:cs="Times New Roman"/>
                  <w:i/>
                  <w:iCs/>
                  <w:color w:val="000000"/>
                  <w:sz w:val="18"/>
                  <w:szCs w:val="18"/>
                </w:rPr>
                <w:t>Perdue v. Kenny A. ex rel. Winn,</w:t>
              </w:r>
              <w:r>
                <w:rPr>
                  <w:rFonts w:ascii="Times New Roman" w:hAnsi="Times New Roman" w:cs="Times New Roman"/>
                  <w:color w:val="000000"/>
                  <w:sz w:val="18"/>
                  <w:szCs w:val="18"/>
                </w:rPr>
                <w:t xml:space="preserve"> 559 U.S. 542, 130 S.Ct. 1662, 176 L.Ed.2d </w:t>
              </w:r>
              <w:r>
                <w:rPr>
                  <w:rFonts w:ascii="Times New Roman" w:hAnsi="Times New Roman" w:cs="Times New Roman"/>
                  <w:color w:val="000000"/>
                  <w:sz w:val="18"/>
                  <w:szCs w:val="18"/>
                </w:rPr>
                <w:t>494 (2010)</w:t>
              </w:r>
            </w:hyperlink>
            <w:r>
              <w:rPr>
                <w:rFonts w:ascii="Times New Roman" w:hAnsi="Times New Roman" w:cs="Times New Roman"/>
                <w:color w:val="000000"/>
                <w:sz w:val="18"/>
                <w:szCs w:val="18"/>
              </w:rPr>
              <w:t xml:space="preserve">. In </w:t>
            </w:r>
            <w:hyperlink r:id="rId209" w:history="1">
              <w:r>
                <w:rPr>
                  <w:rFonts w:ascii="Times New Roman" w:hAnsi="Times New Roman" w:cs="Times New Roman"/>
                  <w:i/>
                  <w:iCs/>
                  <w:color w:val="000000"/>
                  <w:sz w:val="18"/>
                  <w:szCs w:val="18"/>
                </w:rPr>
                <w:t>Perdue,</w:t>
              </w:r>
            </w:hyperlink>
            <w:r>
              <w:rPr>
                <w:rFonts w:ascii="Times New Roman" w:hAnsi="Times New Roman" w:cs="Times New Roman"/>
                <w:color w:val="000000"/>
                <w:sz w:val="18"/>
                <w:szCs w:val="18"/>
              </w:rPr>
              <w:t xml:space="preserve"> the Supreme Court held that the lodestar analysis pursuant to </w:t>
            </w:r>
            <w:hyperlink r:id="rId210" w:history="1">
              <w:r>
                <w:rPr>
                  <w:rFonts w:ascii="Times New Roman" w:hAnsi="Times New Roman" w:cs="Times New Roman"/>
                  <w:color w:val="000000"/>
                  <w:sz w:val="18"/>
                  <w:szCs w:val="18"/>
                </w:rPr>
                <w:t xml:space="preserve">42 U.S.C.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1988</w:t>
              </w:r>
            </w:hyperlink>
            <w:r>
              <w:rPr>
                <w:rFonts w:ascii="Times New Roman" w:hAnsi="Times New Roman" w:cs="Times New Roman"/>
                <w:color w:val="000000"/>
                <w:sz w:val="18"/>
                <w:szCs w:val="18"/>
              </w:rPr>
              <w:t xml:space="preserve"> generally takes into account any factors that might justify a multiplier of the lodestar amount. </w:t>
            </w:r>
            <w:hyperlink r:id="rId211" w:history="1">
              <w:r>
                <w:rPr>
                  <w:rFonts w:ascii="Times New Roman" w:hAnsi="Times New Roman" w:cs="Times New Roman"/>
                  <w:i/>
                  <w:iCs/>
                  <w:color w:val="000000"/>
                  <w:sz w:val="18"/>
                  <w:szCs w:val="18"/>
                </w:rPr>
                <w:t>Id.</w:t>
              </w:r>
              <w:r>
                <w:rPr>
                  <w:rFonts w:ascii="Times New Roman" w:hAnsi="Times New Roman" w:cs="Times New Roman"/>
                  <w:color w:val="000000"/>
                  <w:sz w:val="18"/>
                  <w:szCs w:val="18"/>
                </w:rPr>
                <w:t xml:space="preserve"> at 1673</w:t>
              </w:r>
              <w:r>
                <w:rPr>
                  <w:rFonts w:ascii="Times New Roman" w:hAnsi="Times New Roman" w:cs="Times New Roman"/>
                  <w:color w:val="000000"/>
                  <w:sz w:val="18"/>
                  <w:szCs w:val="18"/>
                </w:rPr>
                <w:t>–</w:t>
              </w:r>
              <w:r>
                <w:rPr>
                  <w:rFonts w:ascii="Times New Roman" w:hAnsi="Times New Roman" w:cs="Times New Roman"/>
                  <w:color w:val="000000"/>
                  <w:sz w:val="18"/>
                  <w:szCs w:val="18"/>
                </w:rPr>
                <w:t>75.</w:t>
              </w:r>
            </w:hyperlink>
            <w:r>
              <w:rPr>
                <w:rFonts w:ascii="Times New Roman" w:hAnsi="Times New Roman" w:cs="Times New Roman"/>
                <w:color w:val="000000"/>
                <w:sz w:val="18"/>
                <w:szCs w:val="18"/>
              </w:rPr>
              <w:t xml:space="preserve"> Therefore, absent </w:t>
            </w:r>
            <w:r>
              <w:rPr>
                <w:rFonts w:ascii="Times New Roman" w:hAnsi="Times New Roman" w:cs="Times New Roman"/>
                <w:color w:val="000000"/>
                <w:sz w:val="18"/>
                <w:szCs w:val="18"/>
              </w:rPr>
              <w:t>“</w:t>
            </w:r>
            <w:r>
              <w:rPr>
                <w:rFonts w:ascii="Times New Roman" w:hAnsi="Times New Roman" w:cs="Times New Roman"/>
                <w:color w:val="000000"/>
                <w:sz w:val="18"/>
                <w:szCs w:val="18"/>
              </w:rPr>
              <w:t>rare</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and </w:t>
            </w:r>
            <w:r>
              <w:rPr>
                <w:rFonts w:ascii="Times New Roman" w:hAnsi="Times New Roman" w:cs="Times New Roman"/>
                <w:color w:val="000000"/>
                <w:sz w:val="18"/>
                <w:szCs w:val="18"/>
              </w:rPr>
              <w:t>“</w:t>
            </w:r>
            <w:r>
              <w:rPr>
                <w:rFonts w:ascii="Times New Roman" w:hAnsi="Times New Roman" w:cs="Times New Roman"/>
                <w:color w:val="000000"/>
                <w:sz w:val="18"/>
                <w:szCs w:val="18"/>
              </w:rPr>
              <w:t>exceptional</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circumstances, the lodestar amount is presumptively reasonable. </w:t>
            </w:r>
            <w:hyperlink r:id="rId212" w:history="1">
              <w:r>
                <w:rPr>
                  <w:rFonts w:ascii="Times New Roman" w:hAnsi="Times New Roman" w:cs="Times New Roman"/>
                  <w:i/>
                  <w:iCs/>
                  <w:color w:val="000000"/>
                  <w:sz w:val="18"/>
                  <w:szCs w:val="18"/>
                </w:rPr>
                <w:t>Id.</w:t>
              </w:r>
            </w:hyperlink>
            <w:r>
              <w:rPr>
                <w:rFonts w:ascii="Times New Roman" w:hAnsi="Times New Roman" w:cs="Times New Roman"/>
                <w:color w:val="000000"/>
                <w:sz w:val="18"/>
                <w:szCs w:val="18"/>
              </w:rPr>
              <w:t xml:space="preserve"> The Supreme Court also held that under those facts, the district court’s 75% multiplier of the lodestar amount was essentially arbitrary. </w:t>
            </w:r>
            <w:hyperlink r:id="rId213" w:history="1">
              <w:r>
                <w:rPr>
                  <w:rFonts w:ascii="Times New Roman" w:hAnsi="Times New Roman" w:cs="Times New Roman"/>
                  <w:i/>
                  <w:iCs/>
                  <w:color w:val="000000"/>
                  <w:sz w:val="18"/>
                  <w:szCs w:val="18"/>
                </w:rPr>
                <w:t>Id.</w:t>
              </w:r>
              <w:r>
                <w:rPr>
                  <w:rFonts w:ascii="Times New Roman" w:hAnsi="Times New Roman" w:cs="Times New Roman"/>
                  <w:color w:val="000000"/>
                  <w:sz w:val="18"/>
                  <w:szCs w:val="18"/>
                </w:rPr>
                <w:t xml:space="preserve"> at 1675</w:t>
              </w:r>
              <w:r>
                <w:rPr>
                  <w:rFonts w:ascii="Times New Roman" w:hAnsi="Times New Roman" w:cs="Times New Roman"/>
                  <w:color w:val="000000"/>
                  <w:sz w:val="18"/>
                  <w:szCs w:val="18"/>
                </w:rPr>
                <w:t>–</w:t>
              </w:r>
              <w:r>
                <w:rPr>
                  <w:rFonts w:ascii="Times New Roman" w:hAnsi="Times New Roman" w:cs="Times New Roman"/>
                  <w:color w:val="000000"/>
                  <w:sz w:val="18"/>
                  <w:szCs w:val="18"/>
                </w:rPr>
                <w:t>76.</w:t>
              </w:r>
            </w:hyperlink>
            <w:r>
              <w:rPr>
                <w:rFonts w:ascii="Times New Roman" w:hAnsi="Times New Roman" w:cs="Times New Roman"/>
                <w:color w:val="000000"/>
                <w:sz w:val="18"/>
                <w:szCs w:val="18"/>
              </w:rPr>
              <w:t xml:space="preserve"> The Supreme Court’s holding was informed by the S</w:t>
            </w:r>
            <w:r>
              <w:rPr>
                <w:rFonts w:ascii="Times New Roman" w:hAnsi="Times New Roman" w:cs="Times New Roman"/>
                <w:color w:val="000000"/>
                <w:sz w:val="18"/>
                <w:szCs w:val="18"/>
              </w:rPr>
              <w:t xml:space="preserve">upreme Court’s lodestar jurisprudence and the statutory purpose of </w:t>
            </w:r>
            <w:hyperlink r:id="rId214" w:history="1">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1988</w:t>
              </w:r>
            </w:hyperlink>
            <w:r>
              <w:rPr>
                <w:rFonts w:ascii="Times New Roman" w:hAnsi="Times New Roman" w:cs="Times New Roman"/>
                <w:color w:val="000000"/>
                <w:sz w:val="18"/>
                <w:szCs w:val="18"/>
              </w:rPr>
              <w:t xml:space="preserve">. </w:t>
            </w:r>
            <w:hyperlink r:id="rId215" w:history="1">
              <w:r>
                <w:rPr>
                  <w:rFonts w:ascii="Times New Roman" w:hAnsi="Times New Roman" w:cs="Times New Roman"/>
                  <w:i/>
                  <w:iCs/>
                  <w:color w:val="000000"/>
                  <w:sz w:val="18"/>
                  <w:szCs w:val="18"/>
                </w:rPr>
                <w:t>Id.</w:t>
              </w:r>
              <w:r>
                <w:rPr>
                  <w:rFonts w:ascii="Times New Roman" w:hAnsi="Times New Roman" w:cs="Times New Roman"/>
                  <w:color w:val="000000"/>
                  <w:sz w:val="18"/>
                  <w:szCs w:val="18"/>
                </w:rPr>
                <w:t xml:space="preserve"> at 1676</w:t>
              </w:r>
              <w:r>
                <w:rPr>
                  <w:rFonts w:ascii="Times New Roman" w:hAnsi="Times New Roman" w:cs="Times New Roman"/>
                  <w:color w:val="000000"/>
                  <w:sz w:val="18"/>
                  <w:szCs w:val="18"/>
                </w:rPr>
                <w:t>–</w:t>
              </w:r>
              <w:r>
                <w:rPr>
                  <w:rFonts w:ascii="Times New Roman" w:hAnsi="Times New Roman" w:cs="Times New Roman"/>
                  <w:color w:val="000000"/>
                  <w:sz w:val="18"/>
                  <w:szCs w:val="18"/>
                </w:rPr>
                <w:t>77.</w:t>
              </w:r>
            </w:hyperlink>
            <w:r>
              <w:rPr>
                <w:rFonts w:ascii="Times New Roman" w:hAnsi="Times New Roman" w:cs="Times New Roman"/>
                <w:color w:val="000000"/>
                <w:sz w:val="18"/>
                <w:szCs w:val="18"/>
              </w:rPr>
              <w:t xml:space="preserve"> Accordingly, </w:t>
            </w:r>
            <w:hyperlink r:id="rId216" w:history="1">
              <w:r>
                <w:rPr>
                  <w:rFonts w:ascii="Times New Roman" w:hAnsi="Times New Roman" w:cs="Times New Roman"/>
                  <w:i/>
                  <w:iCs/>
                  <w:color w:val="000000"/>
                  <w:sz w:val="18"/>
                  <w:szCs w:val="18"/>
                </w:rPr>
                <w:t>Perdue</w:t>
              </w:r>
            </w:hyperlink>
            <w:r>
              <w:rPr>
                <w:rFonts w:ascii="Times New Roman" w:hAnsi="Times New Roman" w:cs="Times New Roman"/>
                <w:color w:val="000000"/>
                <w:sz w:val="18"/>
                <w:szCs w:val="18"/>
              </w:rPr>
              <w:t xml:space="preserve"> has little bearing on the use of the lodestar as a cross-check of a common benefit fee awarded as a percentage of a common fund.</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Court has concluded</w:t>
      </w:r>
      <w:r>
        <w:rPr>
          <w:rFonts w:ascii="Times New Roman" w:hAnsi="Times New Roman" w:cs="Times New Roman"/>
          <w:color w:val="000000"/>
          <w:sz w:val="20"/>
          <w:szCs w:val="20"/>
        </w:rPr>
        <w:t xml:space="preserve"> that 6.5% of the total settlement amount, or $315,250,000, is a reasonable common benefit fee award. To test this percentage-fee value by the lodestar method it is necessary to divide $315,250,000 by the time-fee value of the common benefit work, which is</w:t>
      </w:r>
      <w:r>
        <w:rPr>
          <w:rFonts w:ascii="Times New Roman" w:hAnsi="Times New Roman" w:cs="Times New Roman"/>
          <w:color w:val="000000"/>
          <w:sz w:val="20"/>
          <w:szCs w:val="20"/>
        </w:rPr>
        <w:t xml:space="preserve"> $249,546,751.20. This produces a lodestar multiplier of approximately 1.2633.</w:t>
      </w:r>
      <w:bookmarkStart w:id="104" w:name="co_footnoteReference_B026262024375594_ID"/>
      <w:bookmarkEnd w:id="1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"#co_footnote_B026262024375594_1"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lodestar multiplier is well within the rang</w:t>
      </w:r>
      <w:r>
        <w:rPr>
          <w:rFonts w:ascii="Times New Roman" w:hAnsi="Times New Roman" w:cs="Times New Roman"/>
          <w:color w:val="000000"/>
          <w:sz w:val="20"/>
          <w:szCs w:val="20"/>
        </w:rPr>
        <w:t xml:space="preserve">e computed in other comparable MDL or mass tort cases. </w:t>
      </w:r>
      <w:r>
        <w:rPr>
          <w:rFonts w:ascii="Times New Roman" w:hAnsi="Times New Roman" w:cs="Times New Roman"/>
          <w:i/>
          <w:iCs/>
          <w:color w:val="000000"/>
          <w:sz w:val="20"/>
          <w:szCs w:val="20"/>
        </w:rPr>
        <w:t xml:space="preserve">See, e.g., </w:t>
      </w:r>
      <w:hyperlink r:id="rId217" w:history="1">
        <w:r>
          <w:rPr>
            <w:rFonts w:ascii="Times New Roman" w:hAnsi="Times New Roman" w:cs="Times New Roman"/>
            <w:i/>
            <w:iCs/>
            <w:color w:val="000000"/>
            <w:sz w:val="20"/>
            <w:szCs w:val="20"/>
          </w:rPr>
          <w:t>In re Diet Drugs,</w:t>
        </w:r>
        <w:r>
          <w:rPr>
            <w:rFonts w:ascii="Times New Roman" w:hAnsi="Times New Roman" w:cs="Times New Roman"/>
            <w:color w:val="000000"/>
            <w:sz w:val="20"/>
            <w:szCs w:val="20"/>
          </w:rPr>
          <w:t xml:space="preserve"> 553 F.Supp.2d at 485</w:t>
        </w:r>
        <w:r>
          <w:rPr>
            <w:rFonts w:ascii="Times New Roman" w:hAnsi="Times New Roman" w:cs="Times New Roman"/>
            <w:color w:val="000000"/>
            <w:sz w:val="20"/>
            <w:szCs w:val="20"/>
          </w:rPr>
          <w:t>–</w:t>
        </w:r>
        <w:r>
          <w:rPr>
            <w:rFonts w:ascii="Times New Roman" w:hAnsi="Times New Roman" w:cs="Times New Roman"/>
            <w:color w:val="000000"/>
            <w:sz w:val="20"/>
            <w:szCs w:val="20"/>
          </w:rPr>
          <w:t>87 (E.D.Pa.2008)</w:t>
        </w:r>
      </w:hyperlink>
      <w:r>
        <w:rPr>
          <w:rFonts w:ascii="Times New Roman" w:hAnsi="Times New Roman" w:cs="Times New Roman"/>
          <w:color w:val="000000"/>
          <w:sz w:val="20"/>
          <w:szCs w:val="20"/>
        </w:rPr>
        <w:t xml:space="preserve"> (2.6 multiplier, and collecting cases with multipliers between 2.4 and 4.45). Other MDL cou</w:t>
      </w:r>
      <w:r>
        <w:rPr>
          <w:rFonts w:ascii="Times New Roman" w:hAnsi="Times New Roman" w:cs="Times New Roman"/>
          <w:color w:val="000000"/>
          <w:sz w:val="20"/>
          <w:szCs w:val="20"/>
        </w:rPr>
        <w:t xml:space="preserve">rts have applied lower multipliers. </w:t>
      </w:r>
      <w:hyperlink r:id="rId218" w:history="1">
        <w:r>
          <w:rPr>
            <w:rFonts w:ascii="Times New Roman" w:hAnsi="Times New Roman" w:cs="Times New Roman"/>
            <w:i/>
            <w:iCs/>
            <w:color w:val="000000"/>
            <w:sz w:val="20"/>
            <w:szCs w:val="20"/>
          </w:rPr>
          <w:t>In re Guidant,</w:t>
        </w:r>
        <w:r>
          <w:rPr>
            <w:rFonts w:ascii="Times New Roman" w:hAnsi="Times New Roman" w:cs="Times New Roman"/>
            <w:color w:val="000000"/>
            <w:sz w:val="20"/>
            <w:szCs w:val="20"/>
          </w:rPr>
          <w:t xml:space="preserve"> 2008 WL 682174, at *15 (D.Minn. Mar. 7, 2008)</w:t>
        </w:r>
      </w:hyperlink>
      <w:r>
        <w:rPr>
          <w:rFonts w:ascii="Times New Roman" w:hAnsi="Times New Roman" w:cs="Times New Roman"/>
          <w:color w:val="000000"/>
          <w:sz w:val="20"/>
          <w:szCs w:val="20"/>
        </w:rPr>
        <w:t xml:space="preserve"> (1.19 multiplier); </w:t>
      </w:r>
      <w:hyperlink r:id="rId219" w:history="1">
        <w:r>
          <w:rPr>
            <w:rFonts w:ascii="Times New Roman" w:hAnsi="Times New Roman" w:cs="Times New Roman"/>
            <w:i/>
            <w:iCs/>
            <w:color w:val="000000"/>
            <w:sz w:val="20"/>
            <w:szCs w:val="20"/>
          </w:rPr>
          <w:t>In re Orthopedic Bone Screw,</w:t>
        </w:r>
        <w:r>
          <w:rPr>
            <w:rFonts w:ascii="Times New Roman" w:hAnsi="Times New Roman" w:cs="Times New Roman"/>
            <w:color w:val="000000"/>
            <w:sz w:val="20"/>
            <w:szCs w:val="20"/>
          </w:rPr>
          <w:t xml:space="preserve"> 2000 WL 1622741, at *8</w:t>
        </w:r>
        <w:r>
          <w:rPr>
            <w:rFonts w:ascii="Times New Roman" w:hAnsi="Times New Roman" w:cs="Times New Roman"/>
            <w:color w:val="000000"/>
            <w:sz w:val="20"/>
            <w:szCs w:val="20"/>
          </w:rPr>
          <w:t>–</w:t>
        </w:r>
        <w:r>
          <w:rPr>
            <w:rFonts w:ascii="Times New Roman" w:hAnsi="Times New Roman" w:cs="Times New Roman"/>
            <w:color w:val="000000"/>
            <w:sz w:val="20"/>
            <w:szCs w:val="20"/>
          </w:rPr>
          <w:t>9</w:t>
        </w:r>
      </w:hyperlink>
      <w:r>
        <w:rPr>
          <w:rFonts w:ascii="Times New Roman" w:hAnsi="Times New Roman" w:cs="Times New Roman"/>
          <w:color w:val="000000"/>
          <w:sz w:val="20"/>
          <w:szCs w:val="20"/>
        </w:rPr>
        <w:t xml:space="preserve"> (applying reducing factor because requested fee exceeded available funds). T</w:t>
      </w:r>
      <w:r>
        <w:rPr>
          <w:rFonts w:ascii="Times New Roman" w:hAnsi="Times New Roman" w:cs="Times New Roman"/>
          <w:color w:val="000000"/>
          <w:sz w:val="20"/>
          <w:szCs w:val="20"/>
        </w:rPr>
        <w:t xml:space="preserve">herefore, the Court is satisfied that the rough lodestar cross-check demonstrates that the 6.5% blended percentage fee is well within the reasonable range. Accordingly, the Court determines that the lodestar cross-check firmly </w:t>
      </w:r>
      <w:bookmarkStart w:id="105" w:name="co_pp_sp_4637_662_1"/>
      <w:bookmarkEnd w:id="105"/>
      <w:r>
        <w:rPr>
          <w:rFonts w:ascii="Times New Roman" w:hAnsi="Times New Roman" w:cs="Times New Roman"/>
          <w:b/>
          <w:bCs/>
          <w:color w:val="000000"/>
          <w:sz w:val="20"/>
          <w:szCs w:val="20"/>
        </w:rPr>
        <w:t>*662</w:t>
      </w:r>
      <w:r>
        <w:rPr>
          <w:rFonts w:ascii="Times New Roman" w:hAnsi="Times New Roman" w:cs="Times New Roman"/>
          <w:color w:val="000000"/>
          <w:sz w:val="20"/>
          <w:szCs w:val="20"/>
        </w:rPr>
        <w:t xml:space="preserve"> supports an award of 6.5% of the total settlement of $4.85 billion.</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06" w:name="co_footnote_B026262024375594_1"/>
          <w:bookmarkEnd w:id="106"/>
          <w:p w:rsidR="00000000" w:rsidRDefault="001C0C9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"#co_footnoteReference_B026262024375594_ID"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26</w:t>
            </w:r>
            <w:r>
              <w:rPr>
                <w:rFonts w:ascii="Times New Roman" w:hAnsi="Times New Roman" w:cs="Times New Roman"/>
                <w:color w:val="000000"/>
                <w:sz w:val="20"/>
                <w:szCs w:val="20"/>
              </w:rPr>
              <w:fldChar w:fldCharType="end"/>
            </w:r>
          </w:p>
          <w:p w:rsidR="00000000" w:rsidRDefault="001C0C97">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1C0C97">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Mr. Garret</w:t>
            </w:r>
            <w:r>
              <w:rPr>
                <w:rFonts w:ascii="Times New Roman" w:hAnsi="Times New Roman" w:cs="Times New Roman"/>
                <w:color w:val="000000"/>
                <w:sz w:val="18"/>
                <w:szCs w:val="18"/>
              </w:rPr>
              <w:t>t calculated a lodestar multiplier by dividing the PSC’s requested common benefit fee of 7.5% of $4.85 billion, or $363,750,000, by the time-fee value, or $249,546,751.20, and calculated that the 7.5% fee would represent a multiplier of 1.4576 times the ti</w:t>
            </w:r>
            <w:r>
              <w:rPr>
                <w:rFonts w:ascii="Times New Roman" w:hAnsi="Times New Roman" w:cs="Times New Roman"/>
                <w:color w:val="000000"/>
                <w:sz w:val="18"/>
                <w:szCs w:val="18"/>
              </w:rPr>
              <w:t>me-fee value.</w:t>
            </w:r>
          </w:p>
          <w:p w:rsidR="00000000" w:rsidRDefault="001C0C97">
            <w:pPr>
              <w:widowControl w:val="0"/>
              <w:autoSpaceDE w:val="0"/>
              <w:autoSpaceDN w:val="0"/>
              <w:adjustRightInd w:val="0"/>
              <w:jc w:val="both"/>
              <w:rPr>
                <w:rFonts w:ascii="Times New Roman" w:hAnsi="Times New Roman" w:cs="Times New Roman"/>
                <w:color w:val="000000"/>
                <w:sz w:val="18"/>
                <w:szCs w:val="18"/>
              </w:rPr>
            </w:pPr>
          </w:p>
        </w:tc>
      </w:tr>
    </w:tbl>
    <w:p w:rsidR="00000000" w:rsidRDefault="001C0C97">
      <w:pPr>
        <w:widowControl w:val="0"/>
        <w:autoSpaceDE w:val="0"/>
        <w:autoSpaceDN w:val="0"/>
        <w:adjustRightInd w:val="0"/>
        <w:jc w:val="both"/>
        <w:rPr>
          <w:rFonts w:ascii="Times New Roman" w:hAnsi="Times New Roman" w:cs="Times New Roman"/>
          <w:color w:val="000000"/>
          <w:sz w:val="20"/>
          <w:szCs w:val="20"/>
        </w:rPr>
      </w:pP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107" w:name="co_anchor_I95b00de09b6911e38578f7ccc38dc"/>
      <w:bookmarkEnd w:id="107"/>
    </w:p>
    <w:p w:rsidR="00000000" w:rsidRDefault="001C0C97">
      <w:pPr>
        <w:widowControl w:val="0"/>
        <w:autoSpaceDE w:val="0"/>
        <w:autoSpaceDN w:val="0"/>
        <w:adjustRightInd w:val="0"/>
        <w:spacing w:before="200"/>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D. Fee Award</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For the foregoing reasons, the Court awards a common benefit fee of $315,250,000, which is equivalent to 6.5% of $4,850,000,000.</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This amount wi</w:t>
      </w:r>
      <w:r>
        <w:rPr>
          <w:rFonts w:ascii="Times New Roman" w:hAnsi="Times New Roman" w:cs="Times New Roman"/>
          <w:color w:val="000000"/>
          <w:sz w:val="20"/>
          <w:szCs w:val="20"/>
        </w:rPr>
        <w:t>ll be available for distribution among all attorneys who performed common benefit work in the MDL and associated state litigation. The Court will first allow the Allocation Committee designated in Pretrial Order 32 to arrive at a suggested distribution, pu</w:t>
      </w:r>
      <w:r>
        <w:rPr>
          <w:rFonts w:ascii="Times New Roman" w:hAnsi="Times New Roman" w:cs="Times New Roman"/>
          <w:color w:val="000000"/>
          <w:sz w:val="20"/>
          <w:szCs w:val="20"/>
        </w:rPr>
        <w:t>rsuant to the Allocation Guidelines set forth in Pretrial Order 6D and consistent with the evidence produced during hearings conducted or to be conducted for the purpose of determining an appropriate distribution. If disputes arise, the Court will consider</w:t>
      </w:r>
      <w:r>
        <w:rPr>
          <w:rFonts w:ascii="Times New Roman" w:hAnsi="Times New Roman" w:cs="Times New Roman"/>
          <w:color w:val="000000"/>
          <w:sz w:val="20"/>
          <w:szCs w:val="20"/>
        </w:rPr>
        <w:t xml:space="preserve"> appointing a special master to evaluate the recommendation of the allocation committee and the evidence on which it based its recommendation, and to take additional evidence if necessary. The special master will submit a report of his or her findings to t</w:t>
      </w:r>
      <w:r>
        <w:rPr>
          <w:rFonts w:ascii="Times New Roman" w:hAnsi="Times New Roman" w:cs="Times New Roman"/>
          <w:color w:val="000000"/>
          <w:sz w:val="20"/>
          <w:szCs w:val="20"/>
        </w:rPr>
        <w:t>he Court for a final determination. The Court retains jurisdiction for purposes of supervising the allocation.</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jc w:val="both"/>
        <w:rPr>
          <w:rFonts w:ascii="Times New Roman" w:hAnsi="Times New Roman" w:cs="Times New Roman"/>
          <w:color w:val="000000"/>
          <w:sz w:val="20"/>
          <w:szCs w:val="20"/>
        </w:rPr>
      </w:pPr>
      <w:bookmarkStart w:id="108" w:name="co_anchor_I95b00de19b6911e38578f7ccc38dc"/>
      <w:bookmarkEnd w:id="108"/>
    </w:p>
    <w:p w:rsidR="00000000" w:rsidRDefault="001C0C97">
      <w:pPr>
        <w:widowControl w:val="0"/>
        <w:autoSpaceDE w:val="0"/>
        <w:autoSpaceDN w:val="0"/>
        <w:adjustRightInd w:val="0"/>
        <w:spacing w:before="200"/>
        <w:rPr>
          <w:rFonts w:ascii="Times New Roman" w:hAnsi="Times New Roman" w:cs="Times New Roman"/>
          <w:b/>
          <w:bCs/>
          <w:color w:val="000000"/>
          <w:sz w:val="20"/>
          <w:szCs w:val="20"/>
        </w:rPr>
      </w:pPr>
      <w:r>
        <w:rPr>
          <w:rFonts w:ascii="Times New Roman" w:hAnsi="Times New Roman" w:cs="Times New Roman"/>
          <w:b/>
          <w:bCs/>
          <w:color w:val="000000"/>
          <w:sz w:val="20"/>
          <w:szCs w:val="20"/>
        </w:rPr>
        <w:t>III. CONCLUSION</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the foregoing reasons, IT IS ORDERED that </w:t>
      </w:r>
      <w:r>
        <w:rPr>
          <w:rFonts w:ascii="Times New Roman" w:hAnsi="Times New Roman" w:cs="Times New Roman"/>
          <w:color w:val="000000"/>
          <w:sz w:val="20"/>
          <w:szCs w:val="20"/>
        </w:rPr>
        <w:t>the PLC’s Motion for Award of Plaintiffs’ Common Benefit Counsel Fees and Reimbursement of Expenses (Rec. Doc. 17642) is GRANTED IN PART as set forth in the foregoing Order &amp; Reasons.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C0C97">
      <w:pPr>
        <w:widowControl w:val="0"/>
        <w:autoSpaceDE w:val="0"/>
        <w:autoSpaceDN w:val="0"/>
        <w:adjustRightInd w:val="0"/>
        <w:spacing w:before="400" w:after="200"/>
        <w:jc w:val="both"/>
        <w:rPr>
          <w:rFonts w:ascii="Times New Roman" w:hAnsi="Times New Roman" w:cs="Times New Roman"/>
          <w:b/>
          <w:bCs/>
          <w:color w:val="212121"/>
          <w:sz w:val="20"/>
          <w:szCs w:val="20"/>
        </w:rPr>
      </w:pPr>
      <w:bookmarkStart w:id="109" w:name="co_allCitations_1"/>
      <w:bookmarkEnd w:id="109"/>
      <w:r>
        <w:rPr>
          <w:rFonts w:ascii="Times New Roman" w:hAnsi="Times New Roman" w:cs="Times New Roman"/>
          <w:b/>
          <w:bCs/>
          <w:color w:val="212121"/>
          <w:sz w:val="20"/>
          <w:szCs w:val="20"/>
        </w:rPr>
        <w:t>All Citations</w:t>
      </w:r>
    </w:p>
    <w:p w:rsidR="00000000" w:rsidRDefault="001C0C97">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760 F.Supp.2d 640</w:t>
      </w:r>
    </w:p>
    <w:p w:rsidR="00000000" w:rsidRDefault="001C0C97">
      <w:pPr>
        <w:widowControl w:val="0"/>
        <w:autoSpaceDE w:val="0"/>
        <w:autoSpaceDN w:val="0"/>
        <w:adjustRightInd w:val="0"/>
        <w:rPr>
          <w:rFonts w:ascii="sans-serif" w:hAnsi="sans-serif" w:cs="sans-serif"/>
          <w:color w:val="000000"/>
        </w:rPr>
      </w:pPr>
    </w:p>
    <w:p w:rsidR="00000000" w:rsidRDefault="001C0C97">
      <w:pPr>
        <w:widowControl w:val="0"/>
        <w:autoSpaceDE w:val="0"/>
        <w:autoSpaceDN w:val="0"/>
        <w:adjustRightInd w:val="0"/>
        <w:rPr>
          <w:rFonts w:ascii="Arial" w:hAnsi="Arial" w:cs="Arial"/>
        </w:rPr>
        <w:sectPr w:rsidR="00000000">
          <w:type w:val="continuous"/>
          <w:pgSz w:w="12240" w:h="15840"/>
          <w:pgMar w:top="180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1C0C97">
            <w:pPr>
              <w:widowControl w:val="0"/>
              <w:autoSpaceDE w:val="0"/>
              <w:autoSpaceDN w:val="0"/>
              <w:adjustRightInd w:val="0"/>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rsidR="00000000" w:rsidRDefault="001C0C97">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1C0C97">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2018 Thomson Reuters. No claim to original U.S. Government Works.</w:t>
            </w:r>
          </w:p>
          <w:p w:rsidR="00000000" w:rsidRDefault="001C0C97">
            <w:pPr>
              <w:widowControl w:val="0"/>
              <w:autoSpaceDE w:val="0"/>
              <w:autoSpaceDN w:val="0"/>
              <w:adjustRightInd w:val="0"/>
              <w:ind w:left="24" w:right="24"/>
              <w:jc w:val="right"/>
              <w:rPr>
                <w:rFonts w:ascii="sans-serif" w:hAnsi="sans-serif" w:cs="sans-serif"/>
                <w:color w:val="777777"/>
                <w:sz w:val="16"/>
                <w:szCs w:val="16"/>
              </w:rPr>
            </w:pPr>
          </w:p>
        </w:tc>
      </w:tr>
    </w:tbl>
    <w:p w:rsidR="00000000" w:rsidRDefault="001C0C97">
      <w:pPr>
        <w:widowControl w:val="0"/>
        <w:autoSpaceDE w:val="0"/>
        <w:autoSpaceDN w:val="0"/>
        <w:adjustRightInd w:val="0"/>
        <w:rPr>
          <w:rFonts w:ascii="Arial" w:hAnsi="Arial" w:cs="Arial"/>
        </w:rPr>
      </w:pPr>
    </w:p>
    <w:p w:rsidR="00000000" w:rsidRDefault="001C0C97">
      <w:pPr>
        <w:widowControl w:val="0"/>
        <w:autoSpaceDE w:val="0"/>
        <w:autoSpaceDN w:val="0"/>
        <w:adjustRightInd w:val="0"/>
        <w:rPr>
          <w:rFonts w:ascii="Times New Roman" w:hAnsi="Times New Roman" w:cs="Times New Roman"/>
        </w:rPr>
      </w:pPr>
    </w:p>
    <w:p w:rsidR="00000000" w:rsidRDefault="001C0C97">
      <w:pPr>
        <w:widowControl w:val="0"/>
        <w:autoSpaceDE w:val="0"/>
        <w:autoSpaceDN w:val="0"/>
        <w:adjustRightInd w:val="0"/>
        <w:rPr>
          <w:rFonts w:ascii="Arial" w:hAnsi="Arial" w:cs="Arial"/>
        </w:rPr>
        <w:sectPr w:rsidR="00000000">
          <w:type w:val="continuous"/>
          <w:pgSz w:w="12240" w:h="15840"/>
          <w:pgMar w:top="1800" w:right="1080" w:bottom="1080" w:left="1080" w:header="720" w:footer="720" w:gutter="0"/>
          <w:cols w:space="720"/>
          <w:noEndnote/>
        </w:sectPr>
      </w:pPr>
    </w:p>
    <w:p w:rsidR="001C0C97" w:rsidRDefault="001C0C97">
      <w:pPr>
        <w:widowControl w:val="0"/>
        <w:autoSpaceDE w:val="0"/>
        <w:autoSpaceDN w:val="0"/>
        <w:adjustRightInd w:val="0"/>
        <w:rPr>
          <w:rFonts w:ascii="Arial" w:hAnsi="Arial" w:cs="Arial"/>
        </w:rPr>
      </w:pPr>
    </w:p>
    <w:sectPr w:rsidR="001C0C97">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97" w:rsidRDefault="001C0C97">
      <w:r>
        <w:separator/>
      </w:r>
    </w:p>
  </w:endnote>
  <w:endnote w:type="continuationSeparator" w:id="0">
    <w:p w:rsidR="001C0C97" w:rsidRDefault="001C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B12FB3">
          <w:pPr>
            <w:widowControl w:val="0"/>
            <w:autoSpaceDE w:val="0"/>
            <w:autoSpaceDN w:val="0"/>
            <w:adjustRightInd w:val="0"/>
            <w:rPr>
              <w:rFonts w:ascii="Arial" w:hAnsi="Arial" w:cs="Arial"/>
              <w:color w:val="AAAAAA"/>
              <w:sz w:val="20"/>
              <w:szCs w:val="20"/>
            </w:rPr>
          </w:pPr>
          <w:r>
            <w:rPr>
              <w:rFonts w:ascii="Arial" w:hAnsi="Arial" w:cs="Arial"/>
              <w:noProof/>
              <w:color w:val="AAAAAA"/>
              <w:sz w:val="20"/>
              <w:szCs w:val="20"/>
            </w:rPr>
            <w:drawing>
              <wp:inline distT="0" distB="0" distL="0" distR="0">
                <wp:extent cx="741045" cy="9588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95885"/>
                        </a:xfrm>
                        <a:prstGeom prst="rect">
                          <a:avLst/>
                        </a:prstGeom>
                        <a:noFill/>
                        <a:ln>
                          <a:noFill/>
                        </a:ln>
                      </pic:spPr>
                    </pic:pic>
                  </a:graphicData>
                </a:graphic>
              </wp:inline>
            </w:drawing>
          </w:r>
          <w:r w:rsidR="001C0C97">
            <w:rPr>
              <w:rFonts w:ascii="Arial" w:hAnsi="Arial" w:cs="Arial"/>
              <w:color w:val="AAAAAA"/>
              <w:sz w:val="20"/>
              <w:szCs w:val="20"/>
            </w:rPr>
            <w:t xml:space="preserve"> </w:t>
          </w:r>
          <w:r w:rsidR="001C0C97">
            <w:rPr>
              <w:rFonts w:ascii="Arial" w:hAnsi="Arial" w:cs="Arial"/>
              <w:color w:val="AAAAAA"/>
              <w:sz w:val="20"/>
              <w:szCs w:val="20"/>
            </w:rPr>
            <w:t>©</w:t>
          </w:r>
          <w:r w:rsidR="001C0C97">
            <w:rPr>
              <w:rFonts w:ascii="Arial" w:hAnsi="Arial" w:cs="Arial"/>
              <w:color w:val="AAAAAA"/>
              <w:sz w:val="20"/>
              <w:szCs w:val="20"/>
            </w:rPr>
            <w:t xml:space="preserve"> 2018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1C0C97">
          <w:pPr>
            <w:widowControl w:val="0"/>
            <w:autoSpaceDE w:val="0"/>
            <w:autoSpaceDN w:val="0"/>
            <w:adjustRightInd w:val="0"/>
            <w:jc w:val="right"/>
            <w:rPr>
              <w:rFonts w:ascii="Arial" w:hAnsi="Arial" w:cs="Arial"/>
              <w:color w:val="AAAAAA"/>
              <w:sz w:val="20"/>
              <w:szCs w:val="20"/>
            </w:rPr>
          </w:pPr>
          <w:r>
            <w:rPr>
              <w:rFonts w:ascii="Arial" w:hAnsi="Arial" w:cs="Arial"/>
              <w:color w:val="AAAAAA"/>
              <w:sz w:val="20"/>
              <w:szCs w:val="20"/>
            </w:rPr>
            <w:pgNum/>
          </w:r>
        </w:p>
      </w:tc>
    </w:tr>
  </w:tbl>
  <w:p w:rsidR="00000000" w:rsidRDefault="001C0C97">
    <w:pPr>
      <w:widowControl w:val="0"/>
      <w:autoSpaceDE w:val="0"/>
      <w:autoSpaceDN w:val="0"/>
      <w:adjustRightInd w:val="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97" w:rsidRDefault="001C0C97">
      <w:r>
        <w:separator/>
      </w:r>
    </w:p>
  </w:footnote>
  <w:footnote w:type="continuationSeparator" w:id="0">
    <w:p w:rsidR="001C0C97" w:rsidRDefault="001C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rPr>
        <w:gridAfter w:val="1"/>
        <w:wAfter w:w="700" w:type="dxa"/>
      </w:trPr>
      <w:tc>
        <w:tcPr>
          <w:tcW w:w="9380" w:type="dxa"/>
          <w:tcBorders>
            <w:top w:val="nil"/>
            <w:left w:val="nil"/>
            <w:bottom w:val="nil"/>
            <w:right w:val="nil"/>
          </w:tcBorders>
          <w:tcMar>
            <w:top w:w="400" w:type="dxa"/>
            <w:bottom w:w="60" w:type="dxa"/>
          </w:tcMar>
          <w:vAlign w:val="bottom"/>
        </w:tcPr>
        <w:p w:rsidR="00000000" w:rsidRDefault="001C0C97">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Burch, Elizabeth</w:t>
          </w:r>
          <w:r>
            <w:rPr>
              <w:rFonts w:ascii="Arial" w:hAnsi="Arial" w:cs="Arial"/>
              <w:color w:val="000000"/>
              <w:sz w:val="18"/>
              <w:szCs w:val="18"/>
            </w:rPr>
            <w:t xml:space="preserve"> </w:t>
          </w:r>
          <w:r>
            <w:rPr>
              <w:rFonts w:ascii="Arial" w:hAnsi="Arial" w:cs="Arial"/>
              <w:b/>
              <w:bCs/>
              <w:color w:val="000000"/>
              <w:sz w:val="18"/>
              <w:szCs w:val="18"/>
            </w:rPr>
            <w:t>6/14/2018</w:t>
          </w:r>
        </w:p>
        <w:p w:rsidR="00000000" w:rsidRDefault="001C0C97">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1C0C97">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In re Vioxx Products Liability Litigation, 760 F.Supp.2d 640 (2010)</w:t>
          </w:r>
        </w:p>
      </w:tc>
      <w:tc>
        <w:tcPr>
          <w:tcW w:w="700" w:type="dxa"/>
          <w:tcBorders>
            <w:top w:val="nil"/>
            <w:left w:val="nil"/>
            <w:bottom w:val="single" w:sz="8" w:space="0" w:color="AAAAAA"/>
            <w:right w:val="nil"/>
          </w:tcBorders>
          <w:tcMar>
            <w:top w:w="400" w:type="dxa"/>
            <w:bottom w:w="60" w:type="dxa"/>
          </w:tcMar>
        </w:tcPr>
        <w:p w:rsidR="00000000" w:rsidRDefault="001C0C97">
          <w:pPr>
            <w:widowControl w:val="0"/>
            <w:autoSpaceDE w:val="0"/>
            <w:autoSpaceDN w:val="0"/>
            <w:adjustRightInd w:val="0"/>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1C0C97">
          <w:pPr>
            <w:widowControl w:val="0"/>
            <w:autoSpaceDE w:val="0"/>
            <w:autoSpaceDN w:val="0"/>
            <w:adjustRightInd w:val="0"/>
            <w:rPr>
              <w:rFonts w:ascii="Arial" w:hAnsi="Arial" w:cs="Arial"/>
              <w:color w:val="000000"/>
              <w:sz w:val="18"/>
              <w:szCs w:val="18"/>
            </w:rPr>
          </w:pPr>
        </w:p>
      </w:tc>
    </w:tr>
  </w:tbl>
  <w:p w:rsidR="00000000" w:rsidRDefault="001C0C97">
    <w:pPr>
      <w:widowControl w:val="0"/>
      <w:autoSpaceDE w:val="0"/>
      <w:autoSpaceDN w:val="0"/>
      <w:adjustRightInd w:val="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9C905D"/>
    <w:multiLevelType w:val="singleLevel"/>
    <w:tmpl w:val="D71D0F27"/>
    <w:lvl w:ilvl="0">
      <w:numFmt w:val="decimal"/>
      <w:lvlText w:val="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B3"/>
    <w:rsid w:val="001C0C97"/>
    <w:rsid w:val="00B12FB3"/>
    <w:rsid w:val="00B2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49B593D2-478C-1447-9E1C-2162A3F0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2016962028&amp;pubNum=4637&amp;originatingDoc=Ic6be13231ffc11e080558336ea473530&amp;refType=RP&amp;fi=co_pp_sp_4637_766&amp;originationContext=document&amp;vr=3.0&amp;rs=cblt1.0&amp;transitionType=DocumentItem&amp;contextData=(sc.Search)#co_pp_sp_4637_766" TargetMode="External"/><Relationship Id="rId21" Type="http://schemas.openxmlformats.org/officeDocument/2006/relationships/hyperlink" Target="http://www.westlaw.com/Link/Document/FullText?entityType=gdrug&amp;entityId=I3b37d741475111db9765f9243f53508a&amp;originationContext=document&amp;transitionType=DocumentItem&amp;contextData=(sc.Default)&amp;vr=3.0&amp;rs=cblt1.0" TargetMode="External"/><Relationship Id="rId42" Type="http://schemas.openxmlformats.org/officeDocument/2006/relationships/hyperlink" Target="http://www.westlaw.com/Link/Document/FullText?findType=Y&amp;pubNum=0109803&amp;cite=MCL4THs16&amp;originatingDoc=Ic6be13231ffc11e080558336ea473530&amp;refType=TS&amp;originationContext=document&amp;vr=3.0&amp;rs=cblt1.0&amp;transitionType=DocumentItem&amp;contextData=(sc.Search)" TargetMode="External"/><Relationship Id="rId63" Type="http://schemas.openxmlformats.org/officeDocument/2006/relationships/hyperlink" Target="http://www.westlaw.com/Link/Document/FullText?findType=Y&amp;serNum=0298834127&amp;pubNum=0133562&amp;originatingDoc=Ic6be13231ffc11e080558336ea473530&amp;refType=TS&amp;originationContext=document&amp;vr=3.0&amp;rs=cblt1.0&amp;transitionType=DocumentItem&amp;contextData=(sc.Search)" TargetMode="External"/><Relationship Id="rId84" Type="http://schemas.openxmlformats.org/officeDocument/2006/relationships/hyperlink" Target="http://www.westlaw.com/Link/Document/FullText?findType=Y&amp;serNum=1977104038&amp;originatingDoc=Ic6be13231ffc11e080558336ea473530&amp;refType=RP&amp;originationContext=document&amp;vr=3.0&amp;rs=cblt1.0&amp;transitionType=DocumentItem&amp;contextData=(sc.Search)" TargetMode="External"/><Relationship Id="rId138" Type="http://schemas.openxmlformats.org/officeDocument/2006/relationships/hyperlink" Target="http://www.westlaw.com/Link/Document/FullText?entityType=bdrug&amp;entityId=I36ca9266475111db9765f9243f53508a&amp;originationContext=document&amp;transitionType=DocumentItem&amp;contextData=(sc.Default)&amp;vr=3.0&amp;rs=cblt1.0" TargetMode="External"/><Relationship Id="rId159" Type="http://schemas.openxmlformats.org/officeDocument/2006/relationships/hyperlink" Target="http://www.westlaw.com/Link/Document/FullText?findType=Y&amp;serNum=1995084870&amp;pubNum=506&amp;originatingDoc=Ic6be13231ffc11e080558336ea473530&amp;refType=RP&amp;fi=co_pp_sp_506_331&amp;originationContext=document&amp;vr=3.0&amp;rs=cblt1.0&amp;transitionType=DocumentItem&amp;contextData=(sc.Search)#co_pp_sp_506_331" TargetMode="External"/><Relationship Id="rId170"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91" Type="http://schemas.openxmlformats.org/officeDocument/2006/relationships/hyperlink" Target="http://www.westlaw.com/Link/Document/FullText?findType=Y&amp;serNum=2010801671&amp;pubNum=4637&amp;originatingDoc=Ic6be13231ffc11e080558336ea473530&amp;refType=RP&amp;fi=co_pp_sp_4637_261&amp;originationContext=document&amp;vr=3.0&amp;rs=cblt1.0&amp;transitionType=DocumentItem&amp;contextData=(sc.Search)#co_pp_sp_4637_261" TargetMode="External"/><Relationship Id="rId205" Type="http://schemas.openxmlformats.org/officeDocument/2006/relationships/hyperlink" Target="http://www.westlaw.com/Link/Document/FullText?findType=Y&amp;serNum=2000593647&amp;pubNum=999&amp;originatingDoc=Ic6be13231ffc11e080558336ea473530&amp;refType=RP&amp;originationContext=document&amp;vr=3.0&amp;rs=cblt1.0&amp;transitionType=DocumentItem&amp;contextData=(sc.Search)" TargetMode="External"/><Relationship Id="rId107" Type="http://schemas.openxmlformats.org/officeDocument/2006/relationships/hyperlink" Target="http://www.westlaw.com/Link/Document/FullText?findType=Y&amp;serNum=1984114238&amp;pubNum=708&amp;originatingDoc=Ic6be13231ffc11e080558336ea473530&amp;refType=RP&amp;originationContext=document&amp;vr=3.0&amp;rs=cblt1.0&amp;transitionType=DocumentItem&amp;contextData=(sc.Search)" TargetMode="External"/><Relationship Id="rId11" Type="http://schemas.openxmlformats.org/officeDocument/2006/relationships/hyperlink" Target="https://1.next.westlaw.com/Document/If490e541f7f211e490d4edf60ce7d742/View/FullText.html?navigationPath=RelatedInfo%2Fv4%2Fkeycite%2Fnav%2F%3Fguid%3DIf490e541f7f211e490d4edf60ce7d742%26ss%3D2024375594%26ds%3D2036251215&amp;listSource=RelatedInfo&amp;list=NegativeCitingReferences&amp;rank=0&amp;originationContext=docHeader&amp;transitionType=NegativeTreatment&amp;contextData=%28sc.Search%29" TargetMode="External"/><Relationship Id="rId32" Type="http://schemas.openxmlformats.org/officeDocument/2006/relationships/hyperlink" Target="http://www.westlaw.com/Link/Document/FullText?findType=L&amp;pubNum=1000546&amp;cite=28USCAS1407&amp;originatingDoc=Ic6be13231ffc11e080558336ea473530&amp;refType=LQ&amp;originationContext=document&amp;vr=3.0&amp;rs=cblt1.0&amp;transitionType=DocumentItem&amp;contextData=(sc.Search)" TargetMode="External"/><Relationship Id="rId53" Type="http://schemas.openxmlformats.org/officeDocument/2006/relationships/hyperlink" Target="http://www.westlaw.com/Link/Document/FullText?findType=Y&amp;serNum=0292059217&amp;pubNum=0113076&amp;originatingDoc=Ic6be13231ffc11e080558336ea473530&amp;refType=TS&amp;originationContext=document&amp;vr=3.0&amp;rs=cblt1.0&amp;transitionType=DocumentItem&amp;contextData=(sc.Search)" TargetMode="External"/><Relationship Id="rId74" Type="http://schemas.openxmlformats.org/officeDocument/2006/relationships/hyperlink" Target="http://www.westlaw.com/Link/Document/FullText?findType=Y&amp;serNum=1977104038&amp;originatingDoc=Ic6be13231ffc11e080558336ea473530&amp;refType=RP&amp;originationContext=document&amp;vr=3.0&amp;rs=cblt1.0&amp;transitionType=DocumentItem&amp;contextData=(sc.Search)" TargetMode="External"/><Relationship Id="rId128" Type="http://schemas.openxmlformats.org/officeDocument/2006/relationships/hyperlink" Target="#co_anchor_F52024375594_1" TargetMode="External"/><Relationship Id="rId149" Type="http://schemas.openxmlformats.org/officeDocument/2006/relationships/hyperlink" Target="http://www.westlaw.com/Link/Document/FullText?findType=Y&amp;serNum=2002789141&amp;pubNum=0000999&amp;originatingDoc=Ic6be13231ffc11e080558336ea473530&amp;refType=RP&amp;originationContext=document&amp;vr=3.0&amp;rs=cblt1.0&amp;transitionType=DocumentItem&amp;contextData=(sc.Search)" TargetMode="External"/><Relationship Id="rId5" Type="http://schemas.openxmlformats.org/officeDocument/2006/relationships/footnotes" Target="footnotes.xml"/><Relationship Id="rId95" Type="http://schemas.openxmlformats.org/officeDocument/2006/relationships/hyperlink" Target="http://www.westlaw.com/Link/Document/FullText?findType=Y&amp;serNum=1990147700&amp;pubNum=350&amp;originatingDoc=Ic6be13231ffc11e080558336ea473530&amp;refType=RP&amp;fi=co_pp_sp_350_258&amp;originationContext=document&amp;vr=3.0&amp;rs=cblt1.0&amp;transitionType=DocumentItem&amp;contextData=(sc.Search)#co_pp_sp_350_258" TargetMode="External"/><Relationship Id="rId160" Type="http://schemas.openxmlformats.org/officeDocument/2006/relationships/hyperlink" Target="#co_anchor_F62024375594_1" TargetMode="External"/><Relationship Id="rId181" Type="http://schemas.openxmlformats.org/officeDocument/2006/relationships/hyperlink" Target="http://www.westlaw.com/Link/Document/FullText?findType=Y&amp;serNum=2011349544&amp;originatingDoc=Ic6be13231ffc11e080558336ea473530&amp;refType=RP&amp;originationContext=document&amp;vr=3.0&amp;rs=cblt1.0&amp;transitionType=DocumentItem&amp;contextData=(sc.Search)" TargetMode="External"/><Relationship Id="rId216" Type="http://schemas.openxmlformats.org/officeDocument/2006/relationships/hyperlink" Target="http://www.westlaw.com/Link/Document/FullText?findType=Y&amp;serNum=2021800383&amp;originatingDoc=Ic6be13231ffc11e080558336ea473530&amp;refType=RP&amp;originationContext=document&amp;vr=3.0&amp;rs=cblt1.0&amp;transitionType=DocumentItem&amp;contextData=(sc.Search)" TargetMode="External"/><Relationship Id="rId22"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43" Type="http://schemas.openxmlformats.org/officeDocument/2006/relationships/hyperlink" Target="http://www.westlaw.com/Link/Document/FullText?findType=Y&amp;serNum=0297010314&amp;pubNum=0109803&amp;originatingDoc=Ic6be13231ffc11e080558336ea473530&amp;refType=TS&amp;originationContext=document&amp;vr=3.0&amp;rs=cblt1.0&amp;transitionType=DocumentItem&amp;contextData=(sc.Search)" TargetMode="External"/><Relationship Id="rId64" Type="http://schemas.openxmlformats.org/officeDocument/2006/relationships/hyperlink" Target="#co_anchor_F12024375594_1" TargetMode="External"/><Relationship Id="rId118" Type="http://schemas.openxmlformats.org/officeDocument/2006/relationships/hyperlink" Target="http://www.westlaw.com/Link/Document/FullText?findType=Y&amp;serNum=2011349544&amp;pubNum=4637&amp;originatingDoc=Ic6be13231ffc11e080558336ea473530&amp;refType=RP&amp;fi=co_pp_sp_4637_859&amp;originationContext=document&amp;vr=3.0&amp;rs=cblt1.0&amp;transitionType=DocumentItem&amp;contextData=(sc.Search)#co_pp_sp_4637_859" TargetMode="External"/><Relationship Id="rId139"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85" Type="http://schemas.openxmlformats.org/officeDocument/2006/relationships/hyperlink" Target="http://www.westlaw.com/Link/Document/FullText?findType=Y&amp;serNum=2015487368&amp;pubNum=999&amp;originatingDoc=Ic6be13231ffc11e080558336ea473530&amp;refType=RP&amp;originationContext=document&amp;vr=3.0&amp;rs=cblt1.0&amp;transitionType=DocumentItem&amp;contextData=(sc.Search)" TargetMode="External"/><Relationship Id="rId150" Type="http://schemas.openxmlformats.org/officeDocument/2006/relationships/hyperlink" Target="http://www.westlaw.com/Link/Document/FullText?findType=Y&amp;serNum=2002201571&amp;pubNum=0000999&amp;originatingDoc=Ic6be13231ffc11e080558336ea473530&amp;refType=RP&amp;originationContext=document&amp;vr=3.0&amp;rs=cblt1.0&amp;transitionType=DocumentItem&amp;contextData=(sc.Search)" TargetMode="External"/><Relationship Id="rId171"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92" Type="http://schemas.openxmlformats.org/officeDocument/2006/relationships/hyperlink" Target="http://www.westlaw.com/Link/Document/FullText?findType=Y&amp;serNum=2003446683&amp;pubNum=4637&amp;originatingDoc=Ic6be13231ffc11e080558336ea473530&amp;refType=RP&amp;fi=co_pp_sp_4637_909&amp;originationContext=document&amp;vr=3.0&amp;rs=cblt1.0&amp;transitionType=DocumentItem&amp;contextData=(sc.Search)#co_pp_sp_4637_909" TargetMode="External"/><Relationship Id="rId206" Type="http://schemas.openxmlformats.org/officeDocument/2006/relationships/hyperlink" Target="http://www.westlaw.com/Link/Document/FullText?findType=Y&amp;serNum=1998076207&amp;pubNum=506&amp;originatingDoc=Ic6be13231ffc11e080558336ea473530&amp;refType=RP&amp;fi=co_pp_sp_506_851&amp;originationContext=document&amp;vr=3.0&amp;rs=cblt1.0&amp;transitionType=DocumentItem&amp;contextData=(sc.Search)#co_pp_sp_506_851" TargetMode="External"/><Relationship Id="rId12" Type="http://schemas.openxmlformats.org/officeDocument/2006/relationships/hyperlink" Target="http://www.westlaw.com/Link/Document/FullText?findType=h&amp;pubNum=176284&amp;cite=0226421201&amp;originatingDoc=Ic6be13231ffc11e080558336ea473530&amp;refType=RQ&amp;originationContext=document&amp;vr=3.0&amp;rs=cblt1.0&amp;transitionType=DocumentItem&amp;contextData=(sc.Search)" TargetMode="External"/><Relationship Id="rId33" Type="http://schemas.openxmlformats.org/officeDocument/2006/relationships/hyperlink" Target="http://www.westlaw.com/Link/Document/FullText?findType=Y&amp;serNum=2006243939&amp;pubNum=4637&amp;originatingDoc=Ic6be13231ffc11e080558336ea473530&amp;refType=RP&amp;originationContext=document&amp;vr=3.0&amp;rs=cblt1.0&amp;transitionType=DocumentItem&amp;contextData=(sc.Search)" TargetMode="External"/><Relationship Id="rId108" Type="http://schemas.openxmlformats.org/officeDocument/2006/relationships/hyperlink" Target="http://www.westlaw.com/Link/Document/FullText?findType=Y&amp;serNum=1994095263&amp;pubNum=999&amp;originatingDoc=Ic6be13231ffc11e080558336ea473530&amp;refType=RP&amp;originationContext=document&amp;vr=3.0&amp;rs=cblt1.0&amp;transitionType=DocumentItem&amp;contextData=(sc.Search)" TargetMode="External"/><Relationship Id="rId129" Type="http://schemas.openxmlformats.org/officeDocument/2006/relationships/hyperlink" Target="http://www.westlaw.com/Link/Document/FullText?findType=Y&amp;serNum=2022830852&amp;pubNum=4637&amp;originatingDoc=Ic6be13231ffc11e080558336ea473530&amp;refType=RP&amp;fi=co_pp_sp_4637_1012&amp;originationContext=document&amp;vr=3.0&amp;rs=cblt1.0&amp;transitionType=DocumentItem&amp;contextData=(sc.Search)#co_pp_sp_4637_1012" TargetMode="External"/><Relationship Id="rId54" Type="http://schemas.openxmlformats.org/officeDocument/2006/relationships/hyperlink" Target="http://www.westlaw.com/Link/Document/FullText?findType=L&amp;pubNum=1004365&amp;cite=USFRCPR23&amp;originatingDoc=Ic6be13231ffc11e080558336ea473530&amp;refType=LQ&amp;originationContext=document&amp;vr=3.0&amp;rs=cblt1.0&amp;transitionType=DocumentItem&amp;contextData=(sc.Search)" TargetMode="External"/><Relationship Id="rId75" Type="http://schemas.openxmlformats.org/officeDocument/2006/relationships/hyperlink" Target="http://www.westlaw.com/Link/Document/FullText?findType=Y&amp;serNum=1977104038&amp;originatingDoc=Ic6be13231ffc11e080558336ea473530&amp;refType=RP&amp;originationContext=document&amp;vr=3.0&amp;rs=cblt1.0&amp;transitionType=DocumentItem&amp;contextData=(sc.Search)" TargetMode="External"/><Relationship Id="rId96" Type="http://schemas.openxmlformats.org/officeDocument/2006/relationships/hyperlink" Target="http://www.westlaw.com/Link/Document/FullText?findType=Y&amp;serNum=2002524592&amp;pubNum=506&amp;originatingDoc=Ic6be13231ffc11e080558336ea473530&amp;refType=RP&amp;fi=co_pp_sp_506_461&amp;originationContext=document&amp;vr=3.0&amp;rs=cblt1.0&amp;transitionType=DocumentItem&amp;contextData=(sc.Search)#co_pp_sp_506_461" TargetMode="External"/><Relationship Id="rId140" Type="http://schemas.openxmlformats.org/officeDocument/2006/relationships/hyperlink" Target="http://www.westlaw.com/Link/Document/FullText?findType=Y&amp;serNum=2010801671&amp;pubNum=4637&amp;originatingDoc=Ic6be13231ffc11e080558336ea473530&amp;refType=RP&amp;fi=co_pp_sp_4637_263&amp;originationContext=document&amp;vr=3.0&amp;rs=cblt1.0&amp;transitionType=DocumentItem&amp;contextData=(sc.Search)#co_pp_sp_4637_263" TargetMode="External"/><Relationship Id="rId161"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82"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217" Type="http://schemas.openxmlformats.org/officeDocument/2006/relationships/hyperlink" Target="http://www.westlaw.com/Link/Document/FullText?findType=Y&amp;serNum=2015744357&amp;pubNum=4637&amp;originatingDoc=Ic6be13231ffc11e080558336ea473530&amp;refType=RP&amp;fi=co_pp_sp_4637_485&amp;originationContext=document&amp;vr=3.0&amp;rs=cblt1.0&amp;transitionType=DocumentItem&amp;contextData=(sc.Search)#co_pp_sp_4637_485" TargetMode="External"/><Relationship Id="rId6" Type="http://schemas.openxmlformats.org/officeDocument/2006/relationships/endnotes" Target="endnotes.xml"/><Relationship Id="rId23" Type="http://schemas.openxmlformats.org/officeDocument/2006/relationships/hyperlink" Target="http://www.westlaw.com/Link/Document/FullText?entityType=disease&amp;entityId=Ibf43d470475411db9765f9243f53508a&amp;originationContext=document&amp;transitionType=DocumentItem&amp;contextData=(sc.Default)&amp;vr=3.0&amp;rs=cblt1.0" TargetMode="External"/><Relationship Id="rId119" Type="http://schemas.openxmlformats.org/officeDocument/2006/relationships/hyperlink" Target="http://www.westlaw.com/Link/Document/FullText?findType=Y&amp;serNum=2010617271&amp;pubNum=999&amp;originatingDoc=Ic6be13231ffc11e080558336ea473530&amp;refType=RP&amp;originationContext=document&amp;vr=3.0&amp;rs=cblt1.0&amp;transitionType=DocumentItem&amp;contextData=(sc.Search)" TargetMode="External"/><Relationship Id="rId44" Type="http://schemas.openxmlformats.org/officeDocument/2006/relationships/hyperlink" Target="http://www.westlaw.com/Link/Document/FullText?findType=Y&amp;serNum=0297010308&amp;pubNum=0109803&amp;originatingDoc=Ic6be13231ffc11e080558336ea473530&amp;refType=TS&amp;originationContext=document&amp;vr=3.0&amp;rs=cblt1.0&amp;transitionType=DocumentItem&amp;contextData=(sc.Search)" TargetMode="External"/><Relationship Id="rId65" Type="http://schemas.openxmlformats.org/officeDocument/2006/relationships/hyperlink" Target="#co_anchor_F22024375594_1" TargetMode="External"/><Relationship Id="rId86" Type="http://schemas.openxmlformats.org/officeDocument/2006/relationships/hyperlink" Target="http://www.westlaw.com/Link/Document/FullText?findType=Y&amp;serNum=2010469549&amp;pubNum=344&amp;originatingDoc=Ic6be13231ffc11e080558336ea473530&amp;refType=RP&amp;fi=co_pp_sp_344_38&amp;originationContext=document&amp;vr=3.0&amp;rs=cblt1.0&amp;transitionType=DocumentItem&amp;contextData=(sc.Search)#co_pp_sp_344_38" TargetMode="External"/><Relationship Id="rId130" Type="http://schemas.openxmlformats.org/officeDocument/2006/relationships/hyperlink" Target="http://www.westlaw.com/Link/Document/FullText?findType=Y&amp;serNum=2011349544&amp;pubNum=4637&amp;originatingDoc=Ic6be13231ffc11e080558336ea473530&amp;refType=RP&amp;fi=co_pp_sp_4637_862&amp;originationContext=document&amp;vr=3.0&amp;rs=cblt1.0&amp;transitionType=DocumentItem&amp;contextData=(sc.Search)#co_pp_sp_4637_862" TargetMode="External"/><Relationship Id="rId151" Type="http://schemas.openxmlformats.org/officeDocument/2006/relationships/hyperlink" Target="http://www.westlaw.com/Link/Document/FullText?findType=Y&amp;serNum=2000593647&amp;pubNum=999&amp;originatingDoc=Ic6be13231ffc11e080558336ea473530&amp;refType=RP&amp;originationContext=document&amp;vr=3.0&amp;rs=cblt1.0&amp;transitionType=DocumentItem&amp;contextData=(sc.Search)" TargetMode="External"/><Relationship Id="rId172" Type="http://schemas.openxmlformats.org/officeDocument/2006/relationships/hyperlink" Target="http://www.westlaw.com/Link/Document/FullText?findType=Y&amp;serNum=1974108744&amp;pubNum=350&amp;originatingDoc=Ic6be13231ffc11e080558336ea473530&amp;refType=RP&amp;fi=co_pp_sp_350_719&amp;originationContext=document&amp;vr=3.0&amp;rs=cblt1.0&amp;transitionType=DocumentItem&amp;contextData=(sc.Search)#co_pp_sp_350_719" TargetMode="External"/><Relationship Id="rId193" Type="http://schemas.openxmlformats.org/officeDocument/2006/relationships/hyperlink" Target="http://www.westlaw.com/Link/Document/FullText?findType=Y&amp;serNum=2002789141&amp;pubNum=0000999&amp;originatingDoc=Ic6be13231ffc11e080558336ea473530&amp;refType=RP&amp;originationContext=document&amp;vr=3.0&amp;rs=cblt1.0&amp;transitionType=DocumentItem&amp;contextData=(sc.Search)" TargetMode="External"/><Relationship Id="rId207"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3" Type="http://schemas.openxmlformats.org/officeDocument/2006/relationships/hyperlink" Target="#co_anchor_F42024375594_1" TargetMode="External"/><Relationship Id="rId109" Type="http://schemas.openxmlformats.org/officeDocument/2006/relationships/hyperlink" Target="http://www.westlaw.com/Link/Document/FullText?findType=Y&amp;serNum=0297010298&amp;pubNum=0109803&amp;originatingDoc=Ic6be13231ffc11e080558336ea473530&amp;refType=TS&amp;originationContext=document&amp;vr=3.0&amp;rs=cblt1.0&amp;transitionType=DocumentItem&amp;contextData=(sc.Search)" TargetMode="External"/><Relationship Id="rId34"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55" Type="http://schemas.openxmlformats.org/officeDocument/2006/relationships/hyperlink" Target="http://www.westlaw.com/Link/Document/FullText?findType=Y&amp;serNum=0298834127&amp;pubNum=0133562&amp;originatingDoc=Ic6be13231ffc11e080558336ea473530&amp;refType=TS&amp;originationContext=document&amp;vr=3.0&amp;rs=cblt1.0&amp;transitionType=DocumentItem&amp;contextData=(sc.Search)" TargetMode="External"/><Relationship Id="rId76" Type="http://schemas.openxmlformats.org/officeDocument/2006/relationships/hyperlink" Target="http://www.westlaw.com/Link/Document/FullText?findType=Y&amp;serNum=2019983199&amp;pubNum=506&amp;originatingDoc=Ic6be13231ffc11e080558336ea473530&amp;refType=RP&amp;fi=co_pp_sp_506_546&amp;originationContext=document&amp;vr=3.0&amp;rs=cblt1.0&amp;transitionType=DocumentItem&amp;contextData=(sc.Search)#co_pp_sp_506_546" TargetMode="External"/><Relationship Id="rId97"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20" Type="http://schemas.openxmlformats.org/officeDocument/2006/relationships/hyperlink" Target="http://www.westlaw.com/Link/Document/FullText?findType=Y&amp;serNum=2010211036&amp;pubNum=4637&amp;originatingDoc=Ic6be13231ffc11e080558336ea473530&amp;refType=RP&amp;fi=co_pp_sp_4637_628&amp;originationContext=document&amp;vr=3.0&amp;rs=cblt1.0&amp;transitionType=DocumentItem&amp;contextData=(sc.Search)#co_pp_sp_4637_628" TargetMode="External"/><Relationship Id="rId141" Type="http://schemas.openxmlformats.org/officeDocument/2006/relationships/hyperlink" Target="http://www.westlaw.com/Link/Document/FullText?findType=Y&amp;serNum=2010801671&amp;pubNum=4637&amp;originatingDoc=Ic6be13231ffc11e080558336ea473530&amp;refType=RP&amp;fi=co_pp_sp_4637_261&amp;originationContext=document&amp;vr=3.0&amp;rs=cblt1.0&amp;transitionType=DocumentItem&amp;contextData=(sc.Search)#co_pp_sp_4637_261" TargetMode="External"/><Relationship Id="rId7" Type="http://schemas.openxmlformats.org/officeDocument/2006/relationships/header" Target="header1.xml"/><Relationship Id="rId162"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83"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218" Type="http://schemas.openxmlformats.org/officeDocument/2006/relationships/hyperlink" Target="http://www.westlaw.com/Link/Document/FullText?findType=Y&amp;serNum=2015487368&amp;pubNum=0000999&amp;originatingDoc=Ic6be13231ffc11e080558336ea473530&amp;refType=RP&amp;originationContext=document&amp;vr=3.0&amp;rs=cblt1.0&amp;transitionType=DocumentItem&amp;contextData=(sc.Search)" TargetMode="External"/><Relationship Id="rId24" Type="http://schemas.openxmlformats.org/officeDocument/2006/relationships/hyperlink" Target="http://www.westlaw.com/Link/Document/FullText?entityType=disease&amp;entityId=Ib4d69bf7475411db9765f9243f53508a&amp;originationContext=document&amp;transitionType=DocumentItem&amp;contextData=(sc.Default)&amp;vr=3.0&amp;rs=cblt1.0" TargetMode="External"/><Relationship Id="rId45" Type="http://schemas.openxmlformats.org/officeDocument/2006/relationships/hyperlink" Target="http://www.westlaw.com/Link/Document/FullText?findType=Y&amp;serNum=2016728292&amp;pubNum=0000999&amp;originatingDoc=Ic6be13231ffc11e080558336ea473530&amp;refType=RP&amp;originationContext=document&amp;vr=3.0&amp;rs=cblt1.0&amp;transitionType=DocumentItem&amp;contextData=(sc.Search)" TargetMode="External"/><Relationship Id="rId66" Type="http://schemas.openxmlformats.org/officeDocument/2006/relationships/hyperlink" Target="http://www.westlaw.com/Link/Document/FullText?findType=Y&amp;serNum=1977104038&amp;pubNum=350&amp;originatingDoc=Ic6be13231ffc11e080558336ea473530&amp;refType=RP&amp;originationContext=document&amp;vr=3.0&amp;rs=cblt1.0&amp;transitionType=DocumentItem&amp;contextData=(sc.Search)" TargetMode="External"/><Relationship Id="rId87" Type="http://schemas.openxmlformats.org/officeDocument/2006/relationships/hyperlink" Target="http://www.westlaw.com/Link/Document/FullText?findType=Y&amp;serNum=0350889551&amp;pubNum=1277&amp;originatingDoc=Ic6be13231ffc11e080558336ea473530&amp;refType=LR&amp;fi=co_pp_sp_1277_135&amp;originationContext=document&amp;vr=3.0&amp;rs=cblt1.0&amp;transitionType=DocumentItem&amp;contextData=(sc.Search)#co_pp_sp_1277_135" TargetMode="External"/><Relationship Id="rId110" Type="http://schemas.openxmlformats.org/officeDocument/2006/relationships/hyperlink" Target="http://www.westlaw.com/Link/Document/FullText?findType=Y&amp;serNum=2018255038&amp;pubNum=0000999&amp;originatingDoc=Ic6be13231ffc11e080558336ea473530&amp;refType=RP&amp;originationContext=document&amp;vr=3.0&amp;rs=cblt1.0&amp;transitionType=DocumentItem&amp;contextData=(sc.Search)" TargetMode="External"/><Relationship Id="rId131" Type="http://schemas.openxmlformats.org/officeDocument/2006/relationships/hyperlink" Target="http://www.westlaw.com/Link/Document/FullText?findType=Y&amp;serNum=2010211036&amp;pubNum=4637&amp;originatingDoc=Ic6be13231ffc11e080558336ea473530&amp;refType=RP&amp;fi=co_pp_sp_4637_630&amp;originationContext=document&amp;vr=3.0&amp;rs=cblt1.0&amp;transitionType=DocumentItem&amp;contextData=(sc.Search)#co_pp_sp_4637_630" TargetMode="External"/><Relationship Id="rId152" Type="http://schemas.openxmlformats.org/officeDocument/2006/relationships/hyperlink" Target="http://www.westlaw.com/Link/Document/FullText?findType=Y&amp;serNum=0292059234&amp;pubNum=0113076&amp;originatingDoc=Ic6be13231ffc11e080558336ea473530&amp;refType=TS&amp;originationContext=document&amp;vr=3.0&amp;rs=cblt1.0&amp;transitionType=DocumentItem&amp;contextData=(sc.Search)" TargetMode="External"/><Relationship Id="rId173"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94" Type="http://schemas.openxmlformats.org/officeDocument/2006/relationships/hyperlink" Target="http://www.westlaw.com/Link/Document/FullText?findType=Y&amp;serNum=2002201571&amp;pubNum=0000999&amp;originatingDoc=Ic6be13231ffc11e080558336ea473530&amp;refType=RP&amp;originationContext=document&amp;vr=3.0&amp;rs=cblt1.0&amp;transitionType=DocumentItem&amp;contextData=(sc.Search)" TargetMode="External"/><Relationship Id="rId208" Type="http://schemas.openxmlformats.org/officeDocument/2006/relationships/hyperlink" Target="http://www.westlaw.com/Link/Document/FullText?findType=Y&amp;serNum=2021800383&amp;pubNum=708&amp;originatingDoc=Ic6be13231ffc11e080558336ea473530&amp;refType=RP&amp;originationContext=document&amp;vr=3.0&amp;rs=cblt1.0&amp;transitionType=DocumentItem&amp;contextData=(sc.Search)" TargetMode="External"/><Relationship Id="rId14" Type="http://schemas.openxmlformats.org/officeDocument/2006/relationships/hyperlink" Target="#co_anchor_F82024375594_1" TargetMode="External"/><Relationship Id="rId35" Type="http://schemas.openxmlformats.org/officeDocument/2006/relationships/hyperlink" Target="http://www.westlaw.com/Link/Document/FullText?findType=Y&amp;serNum=0350889551&amp;pubNum=1277&amp;originatingDoc=Ic6be13231ffc11e080558336ea473530&amp;refType=LR&amp;fi=co_pp_sp_1277_159&amp;originationContext=document&amp;vr=3.0&amp;rs=cblt1.0&amp;transitionType=DocumentItem&amp;contextData=(sc.Search)#co_pp_sp_1277_159" TargetMode="External"/><Relationship Id="rId56" Type="http://schemas.openxmlformats.org/officeDocument/2006/relationships/hyperlink" Target="http://www.westlaw.com/Link/Document/FullText?findType=Y&amp;serNum=0101970860&amp;pubNum=1133&amp;originatingDoc=Ic6be13231ffc11e080558336ea473530&amp;refType=LR&amp;fi=co_pp_sp_1133_662&amp;originationContext=document&amp;vr=3.0&amp;rs=cblt1.0&amp;transitionType=DocumentItem&amp;contextData=(sc.Search)#co_pp_sp_1133_662" TargetMode="External"/><Relationship Id="rId77" Type="http://schemas.openxmlformats.org/officeDocument/2006/relationships/hyperlink" Target="http://www.westlaw.com/Link/Document/FullText?findType=Y&amp;serNum=2021462091&amp;pubNum=999&amp;originatingDoc=Ic6be13231ffc11e080558336ea473530&amp;refType=RP&amp;originationContext=document&amp;vr=3.0&amp;rs=cblt1.0&amp;transitionType=DocumentItem&amp;contextData=(sc.Search)" TargetMode="External"/><Relationship Id="rId100" Type="http://schemas.openxmlformats.org/officeDocument/2006/relationships/hyperlink" Target="http://www.westlaw.com/Link/Document/FullText?findType=Y&amp;serNum=0304514104&amp;pubNum=1655&amp;originatingDoc=Ic6be13231ffc11e080558336ea473530&amp;refType=LR&amp;fi=co_pp_sp_1655_1456&amp;originationContext=document&amp;vr=3.0&amp;rs=cblt1.0&amp;transitionType=DocumentItem&amp;contextData=(sc.Search)#co_pp_sp_1655_1456" TargetMode="External"/><Relationship Id="rId8" Type="http://schemas.openxmlformats.org/officeDocument/2006/relationships/footer" Target="footer1.xml"/><Relationship Id="rId51" Type="http://schemas.openxmlformats.org/officeDocument/2006/relationships/hyperlink" Target="http://www.westlaw.com/Link/Document/FullText?findType=Y&amp;serNum=1986134011&amp;pubNum=708&amp;originatingDoc=Ic6be13231ffc11e080558336ea473530&amp;refType=RP&amp;originationContext=document&amp;vr=3.0&amp;rs=cblt1.0&amp;transitionType=DocumentItem&amp;contextData=(sc.Search)" TargetMode="External"/><Relationship Id="rId72" Type="http://schemas.openxmlformats.org/officeDocument/2006/relationships/hyperlink" Target="http://www.westlaw.com/Link/Document/FullText?findType=Y&amp;serNum=1977104038&amp;originatingDoc=Ic6be13231ffc11e080558336ea473530&amp;refType=RP&amp;originationContext=document&amp;vr=3.0&amp;rs=cblt1.0&amp;transitionType=DocumentItem&amp;contextData=(sc.Search)" TargetMode="External"/><Relationship Id="rId93" Type="http://schemas.openxmlformats.org/officeDocument/2006/relationships/hyperlink" Target="http://www.westlaw.com/Link/Document/FullText?findType=Y&amp;serNum=1974108744&amp;pubNum=350&amp;originatingDoc=Ic6be13231ffc11e080558336ea473530&amp;refType=RP&amp;fi=co_pp_sp_350_717&amp;originationContext=document&amp;vr=3.0&amp;rs=cblt1.0&amp;transitionType=DocumentItem&amp;contextData=(sc.Search)#co_pp_sp_350_717" TargetMode="External"/><Relationship Id="rId98" Type="http://schemas.openxmlformats.org/officeDocument/2006/relationships/hyperlink" Target="http://www.westlaw.com/Link/Document/FullText?findType=Y&amp;serNum=2019556522&amp;pubNum=4637&amp;originatingDoc=Ic6be13231ffc11e080558336ea473530&amp;refType=RP&amp;fi=co_pp_sp_4637_558&amp;originationContext=document&amp;vr=3.0&amp;rs=cblt1.0&amp;transitionType=DocumentItem&amp;contextData=(sc.Search)#co_pp_sp_4637_558" TargetMode="External"/><Relationship Id="rId121" Type="http://schemas.openxmlformats.org/officeDocument/2006/relationships/hyperlink" Target="http://www.westlaw.com/Link/Document/FullText?findType=Y&amp;serNum=2003177817&amp;pubNum=4637&amp;originatingDoc=Ic6be13231ffc11e080558336ea473530&amp;refType=RP&amp;fi=co_pp_sp_4637_531&amp;originationContext=document&amp;vr=3.0&amp;rs=cblt1.0&amp;transitionType=DocumentItem&amp;contextData=(sc.Search)#co_pp_sp_4637_531" TargetMode="External"/><Relationship Id="rId142" Type="http://schemas.openxmlformats.org/officeDocument/2006/relationships/hyperlink" Target="http://www.westlaw.com/Link/Document/FullText?findType=Y&amp;serNum=2012937997&amp;pubNum=0000999&amp;originatingDoc=Ic6be13231ffc11e080558336ea473530&amp;refType=RP&amp;originationContext=document&amp;vr=3.0&amp;rs=cblt1.0&amp;transitionType=DocumentItem&amp;contextData=(sc.Search)" TargetMode="External"/><Relationship Id="rId163"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84" Type="http://schemas.openxmlformats.org/officeDocument/2006/relationships/hyperlink" Target="#co_anchor_F72024375594_1" TargetMode="External"/><Relationship Id="rId189" Type="http://schemas.openxmlformats.org/officeDocument/2006/relationships/hyperlink" Target="http://www.westlaw.com/Link/Document/FullText?findType=Y&amp;serNum=2015744357&amp;pubNum=4637&amp;originatingDoc=Ic6be13231ffc11e080558336ea473530&amp;refType=RP&amp;fi=co_pp_sp_4637_457&amp;originationContext=document&amp;vr=3.0&amp;rs=cblt1.0&amp;transitionType=DocumentItem&amp;contextData=(sc.Search)#co_pp_sp_4637_457" TargetMode="External"/><Relationship Id="rId219" Type="http://schemas.openxmlformats.org/officeDocument/2006/relationships/hyperlink" Target="http://www.westlaw.com/Link/Document/FullText?findType=Y&amp;serNum=2000593647&amp;pubNum=999&amp;originatingDoc=Ic6be13231ffc11e080558336ea473530&amp;refType=RP&amp;originationContext=document&amp;vr=3.0&amp;rs=cblt1.0&amp;transitionType=DocumentItem&amp;contextData=(sc.Search)" TargetMode="External"/><Relationship Id="rId3" Type="http://schemas.openxmlformats.org/officeDocument/2006/relationships/settings" Target="settings.xml"/><Relationship Id="rId214" Type="http://schemas.openxmlformats.org/officeDocument/2006/relationships/hyperlink" Target="http://www.westlaw.com/Link/Document/FullText?findType=L&amp;pubNum=1000546&amp;cite=42USCAS1988&amp;originatingDoc=Ic6be13231ffc11e080558336ea473530&amp;refType=LQ&amp;originationContext=document&amp;vr=3.0&amp;rs=cblt1.0&amp;transitionType=DocumentItem&amp;contextData=(sc.Search)" TargetMode="External"/><Relationship Id="rId25" Type="http://schemas.openxmlformats.org/officeDocument/2006/relationships/hyperlink" Target="http://www.westlaw.com/Link/Document/FullText?entityType=disease&amp;entityId=Ic5e733e4475411db9765f9243f53508a&amp;originationContext=document&amp;transitionType=DocumentItem&amp;contextData=(sc.Default)&amp;vr=3.0&amp;rs=cblt1.0" TargetMode="External"/><Relationship Id="rId46"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67" Type="http://schemas.openxmlformats.org/officeDocument/2006/relationships/hyperlink" Target="http://www.westlaw.com/Link/Document/FullText?findType=Y&amp;serNum=1977104038&amp;originatingDoc=Ic6be13231ffc11e080558336ea473530&amp;refType=RP&amp;originationContext=document&amp;vr=3.0&amp;rs=cblt1.0&amp;transitionType=DocumentItem&amp;contextData=(sc.Search)" TargetMode="External"/><Relationship Id="rId116" Type="http://schemas.openxmlformats.org/officeDocument/2006/relationships/hyperlink" Target="http://www.westlaw.com/Link/Document/FullText?findType=Y&amp;serNum=2018255038&amp;pubNum=999&amp;originatingDoc=Ic6be13231ffc11e080558336ea473530&amp;refType=RP&amp;originationContext=document&amp;vr=3.0&amp;rs=cblt1.0&amp;transitionType=DocumentItem&amp;contextData=(sc.Search)" TargetMode="External"/><Relationship Id="rId137" Type="http://schemas.openxmlformats.org/officeDocument/2006/relationships/hyperlink" Target="http://www.westlaw.com/Link/Document/FullText?findType=Y&amp;serNum=2019556522&amp;pubNum=4637&amp;originatingDoc=Ic6be13231ffc11e080558336ea473530&amp;refType=RP&amp;fi=co_pp_sp_4637_564&amp;originationContext=document&amp;vr=3.0&amp;rs=cblt1.0&amp;transitionType=DocumentItem&amp;contextData=(sc.Search)#co_pp_sp_4637_564" TargetMode="External"/><Relationship Id="rId158" Type="http://schemas.openxmlformats.org/officeDocument/2006/relationships/hyperlink" Target="http://www.westlaw.com/Link/Document/FullText?findType=Y&amp;serNum=2015110861&amp;pubNum=506&amp;originatingDoc=Ic6be13231ffc11e080558336ea473530&amp;refType=RP&amp;fi=co_pp_sp_506_228&amp;originationContext=document&amp;vr=3.0&amp;rs=cblt1.0&amp;transitionType=DocumentItem&amp;contextData=(sc.Search)#co_pp_sp_506_228" TargetMode="External"/><Relationship Id="rId20"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41" Type="http://schemas.openxmlformats.org/officeDocument/2006/relationships/hyperlink" Target="http://www.westlaw.com/Link/Document/FullText?findType=Y&amp;serNum=0297010307&amp;pubNum=0109803&amp;originatingDoc=Ic6be13231ffc11e080558336ea473530&amp;refType=TS&amp;originationContext=document&amp;vr=3.0&amp;rs=cblt1.0&amp;transitionType=DocumentItem&amp;contextData=(sc.Search)" TargetMode="External"/><Relationship Id="rId62" Type="http://schemas.openxmlformats.org/officeDocument/2006/relationships/hyperlink" Target="http://www.westlaw.com/Link/Document/FullText?findType=Y&amp;serNum=2021270598&amp;originatingDoc=Ic6be13231ffc11e080558336ea473530&amp;refType=RP&amp;originationContext=document&amp;vr=3.0&amp;rs=cblt1.0&amp;transitionType=DocumentItem&amp;contextData=(sc.Search)" TargetMode="External"/><Relationship Id="rId83" Type="http://schemas.openxmlformats.org/officeDocument/2006/relationships/hyperlink" Target="http://www.westlaw.com/Link/Document/FullText?findType=Y&amp;serNum=1977104038&amp;originatingDoc=Ic6be13231ffc11e080558336ea473530&amp;refType=RP&amp;originationContext=document&amp;vr=3.0&amp;rs=cblt1.0&amp;transitionType=DocumentItem&amp;contextData=(sc.Search)" TargetMode="External"/><Relationship Id="rId88" Type="http://schemas.openxmlformats.org/officeDocument/2006/relationships/hyperlink" Target="http://www.westlaw.com/Link/Document/FullText?findType=Y&amp;serNum=0350889551&amp;originatingDoc=Ic6be13231ffc11e080558336ea473530&amp;refType=LR&amp;originationContext=document&amp;vr=3.0&amp;rs=cblt1.0&amp;transitionType=DocumentItem&amp;contextData=(sc.Search)" TargetMode="External"/><Relationship Id="rId111"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32" Type="http://schemas.openxmlformats.org/officeDocument/2006/relationships/hyperlink" Target="http://www.westlaw.com/Link/Document/FullText?findType=Y&amp;serNum=2009774301&amp;pubNum=4637&amp;originatingDoc=Ic6be13231ffc11e080558336ea473530&amp;refType=RP&amp;fi=co_pp_sp_4637_1212&amp;originationContext=document&amp;vr=3.0&amp;rs=cblt1.0&amp;transitionType=DocumentItem&amp;contextData=(sc.Search)#co_pp_sp_4637_1212" TargetMode="External"/><Relationship Id="rId153"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74"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79" Type="http://schemas.openxmlformats.org/officeDocument/2006/relationships/hyperlink" Target="http://www.westlaw.com/Link/Document/FullText?findType=Y&amp;serNum=2011349544&amp;pubNum=4637&amp;originatingDoc=Ic6be13231ffc11e080558336ea473530&amp;refType=RP&amp;fi=co_pp_sp_4637_866&amp;originationContext=document&amp;vr=3.0&amp;rs=cblt1.0&amp;transitionType=DocumentItem&amp;contextData=(sc.Search)#co_pp_sp_4637_866" TargetMode="External"/><Relationship Id="rId195" Type="http://schemas.openxmlformats.org/officeDocument/2006/relationships/hyperlink" Target="http://www.westlaw.com/Link/Document/FullText?findType=Y&amp;serNum=2000593647&amp;pubNum=999&amp;originatingDoc=Ic6be13231ffc11e080558336ea473530&amp;refType=RP&amp;originationContext=document&amp;vr=3.0&amp;rs=cblt1.0&amp;transitionType=DocumentItem&amp;contextData=(sc.Search)" TargetMode="External"/><Relationship Id="rId209" Type="http://schemas.openxmlformats.org/officeDocument/2006/relationships/hyperlink" Target="http://www.westlaw.com/Link/Document/FullText?findType=Y&amp;serNum=2021800383&amp;originatingDoc=Ic6be13231ffc11e080558336ea473530&amp;refType=RP&amp;originationContext=document&amp;vr=3.0&amp;rs=cblt1.0&amp;transitionType=DocumentItem&amp;contextData=(sc.Search)" TargetMode="External"/><Relationship Id="rId190" Type="http://schemas.openxmlformats.org/officeDocument/2006/relationships/hyperlink" Target="http://www.westlaw.com/Link/Document/FullText?findType=Y&amp;serNum=2015298122&amp;pubNum=0000999&amp;originatingDoc=Ic6be13231ffc11e080558336ea473530&amp;refType=RP&amp;originationContext=document&amp;vr=3.0&amp;rs=cblt1.0&amp;transitionType=DocumentItem&amp;contextData=(sc.Search)" TargetMode="External"/><Relationship Id="rId204" Type="http://schemas.openxmlformats.org/officeDocument/2006/relationships/hyperlink" Target="http://www.westlaw.com/Link/Document/FullText?findType=Y&amp;serNum=2015487368&amp;pubNum=0000999&amp;originatingDoc=Ic6be13231ffc11e080558336ea473530&amp;refType=RP&amp;originationContext=document&amp;vr=3.0&amp;rs=cblt1.0&amp;transitionType=DocumentItem&amp;contextData=(sc.Search)" TargetMode="External"/><Relationship Id="rId220" Type="http://schemas.openxmlformats.org/officeDocument/2006/relationships/fontTable" Target="fontTable.xml"/><Relationship Id="rId15" Type="http://schemas.openxmlformats.org/officeDocument/2006/relationships/hyperlink" Target="http://www.westlaw.com/Link/Document/FullText?findType=h&amp;pubNum=176284&amp;cite=0439668701&amp;originatingDoc=Ic6be13231ffc11e080558336ea473530&amp;refType=RQ&amp;originationContext=document&amp;vr=3.0&amp;rs=cblt1.0&amp;transitionType=DocumentItem&amp;contextData=(sc.Search)" TargetMode="External"/><Relationship Id="rId36"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57" Type="http://schemas.openxmlformats.org/officeDocument/2006/relationships/hyperlink" Target="http://www.westlaw.com/Link/Document/FullText?findType=Y&amp;serNum=1939124178&amp;pubNum=708&amp;originatingDoc=Ic6be13231ffc11e080558336ea473530&amp;refType=RP&amp;originationContext=document&amp;vr=3.0&amp;rs=cblt1.0&amp;transitionType=DocumentItem&amp;contextData=(sc.Search)" TargetMode="External"/><Relationship Id="rId106" Type="http://schemas.openxmlformats.org/officeDocument/2006/relationships/hyperlink" Target="http://www.westlaw.com/Link/Document/FullText?findType=Y&amp;serNum=1991173087&amp;pubNum=350&amp;originatingDoc=Ic6be13231ffc11e080558336ea473530&amp;refType=RP&amp;fi=co_pp_sp_350_773&amp;originationContext=document&amp;vr=3.0&amp;rs=cblt1.0&amp;transitionType=DocumentItem&amp;contextData=(sc.Search)#co_pp_sp_350_773" TargetMode="External"/><Relationship Id="rId127"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10" Type="http://schemas.openxmlformats.org/officeDocument/2006/relationships/image" Target="media/image2.png"/><Relationship Id="rId31"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52" Type="http://schemas.openxmlformats.org/officeDocument/2006/relationships/hyperlink" Target="http://www.westlaw.com/Link/Document/FullText?findType=Y&amp;serNum=2021270598&amp;pubNum=506&amp;originatingDoc=Ic6be13231ffc11e080558336ea473530&amp;refType=RP&amp;fi=co_pp_sp_506_128&amp;originationContext=document&amp;vr=3.0&amp;rs=cblt1.0&amp;transitionType=DocumentItem&amp;contextData=(sc.Search)#co_pp_sp_506_128" TargetMode="External"/><Relationship Id="rId73" Type="http://schemas.openxmlformats.org/officeDocument/2006/relationships/hyperlink" Target="http://www.westlaw.com/Link/Document/FullText?findType=Y&amp;serNum=1977104038&amp;originatingDoc=Ic6be13231ffc11e080558336ea473530&amp;refType=RP&amp;originationContext=document&amp;vr=3.0&amp;rs=cblt1.0&amp;transitionType=DocumentItem&amp;contextData=(sc.Search)" TargetMode="External"/><Relationship Id="rId78" Type="http://schemas.openxmlformats.org/officeDocument/2006/relationships/hyperlink" Target="http://www.westlaw.com/Link/Document/FullText?findType=Y&amp;serNum=2015487368&amp;pubNum=999&amp;originatingDoc=Ic6be13231ffc11e080558336ea473530&amp;refType=RP&amp;originationContext=document&amp;vr=3.0&amp;rs=cblt1.0&amp;transitionType=DocumentItem&amp;contextData=(sc.Search)" TargetMode="External"/><Relationship Id="rId94"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99" Type="http://schemas.openxmlformats.org/officeDocument/2006/relationships/hyperlink" Target="http://www.westlaw.com/Link/Document/FullText?findType=Y&amp;serNum=2016917859&amp;pubNum=4637&amp;originatingDoc=Ic6be13231ffc11e080558336ea473530&amp;refType=RP&amp;fi=co_pp_sp_4637_610&amp;originationContext=document&amp;vr=3.0&amp;rs=cblt1.0&amp;transitionType=DocumentItem&amp;contextData=(sc.Search)#co_pp_sp_4637_610" TargetMode="External"/><Relationship Id="rId101" Type="http://schemas.openxmlformats.org/officeDocument/2006/relationships/hyperlink" Target="http://www.westlaw.com/Link/Document/FullText?findType=Y&amp;serNum=0102837886&amp;pubNum=344&amp;originatingDoc=Ic6be13231ffc11e080558336ea473530&amp;refType=LR&amp;originationContext=document&amp;vr=3.0&amp;rs=cblt1.0&amp;transitionType=DocumentItem&amp;contextData=(sc.Search)" TargetMode="External"/><Relationship Id="rId122" Type="http://schemas.openxmlformats.org/officeDocument/2006/relationships/hyperlink" Target="http://www.westlaw.com/Link/Document/FullText?findType=Y&amp;serNum=1997124089&amp;pubNum=345&amp;originatingDoc=Ic6be13231ffc11e080558336ea473530&amp;refType=RP&amp;fi=co_pp_sp_345_1135&amp;originationContext=document&amp;vr=3.0&amp;rs=cblt1.0&amp;transitionType=DocumentItem&amp;contextData=(sc.Search)#co_pp_sp_345_1135" TargetMode="External"/><Relationship Id="rId143" Type="http://schemas.openxmlformats.org/officeDocument/2006/relationships/hyperlink" Target="http://www.westlaw.com/Link/Document/FullText?findType=Y&amp;serNum=2008782329&amp;pubNum=4637&amp;originatingDoc=Ic6be13231ffc11e080558336ea473530&amp;refType=RP&amp;originationContext=document&amp;vr=3.0&amp;rs=cblt1.0&amp;transitionType=DocumentItem&amp;contextData=(sc.Search)" TargetMode="External"/><Relationship Id="rId148" Type="http://schemas.openxmlformats.org/officeDocument/2006/relationships/hyperlink" Target="http://www.westlaw.com/Link/Document/FullText?findType=Y&amp;serNum=2003446683&amp;pubNum=4637&amp;originatingDoc=Ic6be13231ffc11e080558336ea473530&amp;refType=RP&amp;fi=co_pp_sp_4637_909&amp;originationContext=document&amp;vr=3.0&amp;rs=cblt1.0&amp;transitionType=DocumentItem&amp;contextData=(sc.Search)#co_pp_sp_4637_909" TargetMode="External"/><Relationship Id="rId164" Type="http://schemas.openxmlformats.org/officeDocument/2006/relationships/hyperlink" Target="http://www.westlaw.com/Link/Document/FullText?findType=Y&amp;serNum=1974108744&amp;pubNum=350&amp;originatingDoc=Ic6be13231ffc11e080558336ea473530&amp;refType=RP&amp;fi=co_pp_sp_350_718&amp;originationContext=document&amp;vr=3.0&amp;rs=cblt1.0&amp;transitionType=DocumentItem&amp;contextData=(sc.Search)#co_pp_sp_350_718" TargetMode="External"/><Relationship Id="rId169"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85"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4" Type="http://schemas.openxmlformats.org/officeDocument/2006/relationships/webSettings" Target="webSettings.xml"/><Relationship Id="rId9" Type="http://schemas.openxmlformats.org/officeDocument/2006/relationships/hyperlink" Target="https://1.next.westlaw.com/Link/RelatedInformation/Flag?documentGuid=If490e541f7f211e490d4edf60ce7d742&amp;transitionType=Document&amp;originationContext=docHeaderFlag&amp;contextData=(sc.Search)" TargetMode="External"/><Relationship Id="rId180" Type="http://schemas.openxmlformats.org/officeDocument/2006/relationships/hyperlink" Target="http://www.westlaw.com/Link/Document/FullText?findType=Y&amp;serNum=1974108744&amp;pubNum=350&amp;originatingDoc=Ic6be13231ffc11e080558336ea473530&amp;refType=RP&amp;fi=co_pp_sp_350_718&amp;originationContext=document&amp;vr=3.0&amp;rs=cblt1.0&amp;transitionType=DocumentItem&amp;contextData=(sc.Search)#co_pp_sp_350_718" TargetMode="External"/><Relationship Id="rId210" Type="http://schemas.openxmlformats.org/officeDocument/2006/relationships/hyperlink" Target="http://www.westlaw.com/Link/Document/FullText?findType=L&amp;pubNum=1000546&amp;cite=42USCAS1988&amp;originatingDoc=Ic6be13231ffc11e080558336ea473530&amp;refType=LQ&amp;originationContext=document&amp;vr=3.0&amp;rs=cblt1.0&amp;transitionType=DocumentItem&amp;contextData=(sc.Search)" TargetMode="External"/><Relationship Id="rId215" Type="http://schemas.openxmlformats.org/officeDocument/2006/relationships/hyperlink" Target="http://www.westlaw.com/Link/Document/FullText?findType=Y&amp;serNum=2021800383&amp;originatingDoc=Ic6be13231ffc11e080558336ea473530&amp;refType=RP&amp;originationContext=document&amp;vr=3.0&amp;rs=cblt1.0&amp;transitionType=DocumentItem&amp;contextData=(sc.Search)" TargetMode="External"/><Relationship Id="rId26"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47"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68" Type="http://schemas.openxmlformats.org/officeDocument/2006/relationships/hyperlink" Target="http://www.westlaw.com/Link/Document/FullText?findType=Y&amp;serNum=1977104038&amp;originatingDoc=Ic6be13231ffc11e080558336ea473530&amp;refType=RP&amp;originationContext=document&amp;vr=3.0&amp;rs=cblt1.0&amp;transitionType=DocumentItem&amp;contextData=(sc.Search)" TargetMode="External"/><Relationship Id="rId89"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12"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33" Type="http://schemas.openxmlformats.org/officeDocument/2006/relationships/hyperlink" Target="http://www.westlaw.com/Link/Document/FullText?findType=Y&amp;serNum=2010469549&amp;pubNum=344&amp;originatingDoc=Ic6be13231ffc11e080558336ea473530&amp;refType=RP&amp;fi=co_pp_sp_344_37&amp;originationContext=document&amp;vr=3.0&amp;rs=cblt1.0&amp;transitionType=DocumentItem&amp;contextData=(sc.Search)#co_pp_sp_344_37" TargetMode="External"/><Relationship Id="rId154"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75"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96" Type="http://schemas.openxmlformats.org/officeDocument/2006/relationships/hyperlink" Target="#co_anchor_F82024375594_1" TargetMode="External"/><Relationship Id="rId200" Type="http://schemas.openxmlformats.org/officeDocument/2006/relationships/hyperlink" Target="http://www.westlaw.com/Link/Document/FullText?findType=Y&amp;serNum=2006119316&amp;pubNum=506&amp;originatingDoc=Ic6be13231ffc11e080558336ea473530&amp;refType=RP&amp;fi=co_pp_sp_506_306&amp;originationContext=document&amp;vr=3.0&amp;rs=cblt1.0&amp;transitionType=DocumentItem&amp;contextData=(sc.Search)#co_pp_sp_506_306" TargetMode="External"/><Relationship Id="rId16" Type="http://schemas.openxmlformats.org/officeDocument/2006/relationships/hyperlink" Target="http://www.westlaw.com/Link/Document/FullText?findType=h&amp;pubNum=176284&amp;cite=0388684301&amp;originatingDoc=Ic6be13231ffc11e080558336ea473530&amp;refType=RQ&amp;originationContext=document&amp;vr=3.0&amp;rs=cblt1.0&amp;transitionType=DocumentItem&amp;contextData=(sc.Search)" TargetMode="External"/><Relationship Id="rId221" Type="http://schemas.openxmlformats.org/officeDocument/2006/relationships/theme" Target="theme/theme1.xml"/><Relationship Id="rId37"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58" Type="http://schemas.openxmlformats.org/officeDocument/2006/relationships/hyperlink" Target="http://www.westlaw.com/Link/Document/FullText?findType=Y&amp;serNum=0297010298&amp;pubNum=0109803&amp;originatingDoc=Ic6be13231ffc11e080558336ea473530&amp;refType=TS&amp;originationContext=document&amp;vr=3.0&amp;rs=cblt1.0&amp;transitionType=DocumentItem&amp;contextData=(sc.Search)" TargetMode="External"/><Relationship Id="rId79" Type="http://schemas.openxmlformats.org/officeDocument/2006/relationships/hyperlink" Target="http://www.westlaw.com/Link/Document/FullText?findType=Y&amp;serNum=2010801671&amp;pubNum=4637&amp;originatingDoc=Ic6be13231ffc11e080558336ea473530&amp;refType=RP&amp;fi=co_pp_sp_4637_265&amp;originationContext=document&amp;vr=3.0&amp;rs=cblt1.0&amp;transitionType=DocumentItem&amp;contextData=(sc.Search)#co_pp_sp_4637_265" TargetMode="External"/><Relationship Id="rId102" Type="http://schemas.openxmlformats.org/officeDocument/2006/relationships/hyperlink" Target="http://www.westlaw.com/Link/Document/FullText?findType=Y&amp;serNum=1997124089&amp;pubNum=345&amp;originatingDoc=Ic6be13231ffc11e080558336ea473530&amp;refType=RP&amp;fi=co_pp_sp_345_1132&amp;originationContext=document&amp;vr=3.0&amp;rs=cblt1.0&amp;transitionType=DocumentItem&amp;contextData=(sc.Search)#co_pp_sp_345_1132" TargetMode="External"/><Relationship Id="rId123" Type="http://schemas.openxmlformats.org/officeDocument/2006/relationships/hyperlink" Target="http://www.westlaw.com/Link/Document/FullText?findType=Y&amp;serNum=1996200188&amp;pubNum=345&amp;originatingDoc=Ic6be13231ffc11e080558336ea473530&amp;refType=RP&amp;fi=co_pp_sp_345_499&amp;originationContext=document&amp;vr=3.0&amp;rs=cblt1.0&amp;transitionType=DocumentItem&amp;contextData=(sc.Search)#co_pp_sp_345_499" TargetMode="External"/><Relationship Id="rId144" Type="http://schemas.openxmlformats.org/officeDocument/2006/relationships/hyperlink" Target="http://www.westlaw.com/Link/Document/FullText?findType=Y&amp;serNum=2015298122&amp;pubNum=999&amp;originatingDoc=Ic6be13231ffc11e080558336ea473530&amp;refType=RP&amp;originationContext=document&amp;vr=3.0&amp;rs=cblt1.0&amp;transitionType=DocumentItem&amp;contextData=(sc.Search)" TargetMode="External"/><Relationship Id="rId90" Type="http://schemas.openxmlformats.org/officeDocument/2006/relationships/hyperlink" Target="http://www.westlaw.com/Link/Document/FullText?findType=Y&amp;serNum=1980118545&amp;pubNum=350&amp;originatingDoc=Ic6be13231ffc11e080558336ea473530&amp;refType=RP&amp;fi=co_pp_sp_350_583&amp;originationContext=document&amp;vr=3.0&amp;rs=cblt1.0&amp;transitionType=DocumentItem&amp;contextData=(sc.Search)#co_pp_sp_350_583" TargetMode="External"/><Relationship Id="rId165"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86" Type="http://schemas.openxmlformats.org/officeDocument/2006/relationships/hyperlink" Target="http://www.westlaw.com/Link/Document/FullText?findType=Y&amp;serNum=2010211036&amp;pubNum=4637&amp;originatingDoc=Ic6be13231ffc11e080558336ea473530&amp;refType=RP&amp;fi=co_pp_sp_4637_632&amp;originationContext=document&amp;vr=3.0&amp;rs=cblt1.0&amp;transitionType=DocumentItem&amp;contextData=(sc.Search)#co_pp_sp_4637_632" TargetMode="External"/><Relationship Id="rId211" Type="http://schemas.openxmlformats.org/officeDocument/2006/relationships/hyperlink" Target="http://www.westlaw.com/Link/Document/FullText?findType=Y&amp;serNum=2021800383&amp;originatingDoc=Ic6be13231ffc11e080558336ea473530&amp;refType=RP&amp;originationContext=document&amp;vr=3.0&amp;rs=cblt1.0&amp;transitionType=DocumentItem&amp;contextData=(sc.Search)" TargetMode="External"/><Relationship Id="rId27"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48"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69" Type="http://schemas.openxmlformats.org/officeDocument/2006/relationships/hyperlink" Target="http://www.westlaw.com/Link/Document/FullText?findType=Y&amp;serNum=1977104038&amp;originatingDoc=Ic6be13231ffc11e080558336ea473530&amp;refType=RP&amp;originationContext=document&amp;vr=3.0&amp;rs=cblt1.0&amp;transitionType=DocumentItem&amp;contextData=(sc.Search)" TargetMode="External"/><Relationship Id="rId113" Type="http://schemas.openxmlformats.org/officeDocument/2006/relationships/hyperlink" Target="http://www.westlaw.com/Link/Document/FullText?findType=Y&amp;serNum=1998076207&amp;pubNum=506&amp;originatingDoc=Ic6be13231ffc11e080558336ea473530&amp;refType=RP&amp;fi=co_pp_sp_506_851&amp;originationContext=document&amp;vr=3.0&amp;rs=cblt1.0&amp;transitionType=DocumentItem&amp;contextData=(sc.Search)#co_pp_sp_506_851" TargetMode="External"/><Relationship Id="rId134"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80" Type="http://schemas.openxmlformats.org/officeDocument/2006/relationships/hyperlink" Target="http://www.westlaw.com/Link/Document/FullText?findType=Y&amp;serNum=2003610297&amp;pubNum=4637&amp;originatingDoc=Ic6be13231ffc11e080558336ea473530&amp;refType=RP&amp;fi=co_pp_sp_4637_653&amp;originationContext=document&amp;vr=3.0&amp;rs=cblt1.0&amp;transitionType=DocumentItem&amp;contextData=(sc.Search)#co_pp_sp_4637_653" TargetMode="External"/><Relationship Id="rId155"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76"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97"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201" Type="http://schemas.openxmlformats.org/officeDocument/2006/relationships/hyperlink" Target="http://www.westlaw.com/Link/Document/FullText?findType=Y&amp;serNum=2011349544&amp;pubNum=4637&amp;originatingDoc=Ic6be13231ffc11e080558336ea473530&amp;refType=RP&amp;fi=co_pp_sp_4637_868&amp;originationContext=document&amp;vr=3.0&amp;rs=cblt1.0&amp;transitionType=DocumentItem&amp;contextData=(sc.Search)#co_pp_sp_4637_868" TargetMode="External"/><Relationship Id="rId17" Type="http://schemas.openxmlformats.org/officeDocument/2006/relationships/hyperlink" Target="http://www.westlaw.com/Link/Document/FullText?findType=h&amp;pubNum=176284&amp;cite=0208492001&amp;originatingDoc=Ic6be13231ffc11e080558336ea473530&amp;refType=RQ&amp;originationContext=document&amp;vr=3.0&amp;rs=cblt1.0&amp;transitionType=DocumentItem&amp;contextData=(sc.Search)" TargetMode="External"/><Relationship Id="rId38"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59" Type="http://schemas.openxmlformats.org/officeDocument/2006/relationships/hyperlink" Target="http://www.westlaw.com/Link/Document/FullText?findType=Y&amp;serNum=2021462091&amp;pubNum=999&amp;originatingDoc=Ic6be13231ffc11e080558336ea473530&amp;refType=RP&amp;originationContext=document&amp;vr=3.0&amp;rs=cblt1.0&amp;transitionType=DocumentItem&amp;contextData=(sc.Search)" TargetMode="External"/><Relationship Id="rId103" Type="http://schemas.openxmlformats.org/officeDocument/2006/relationships/hyperlink" Target="http://www.westlaw.com/Link/Document/FullText?findType=Y&amp;serNum=2010469549&amp;pubNum=344&amp;originatingDoc=Ic6be13231ffc11e080558336ea473530&amp;refType=RP&amp;fi=co_pp_sp_344_37&amp;originationContext=document&amp;vr=3.0&amp;rs=cblt1.0&amp;transitionType=DocumentItem&amp;contextData=(sc.Search)#co_pp_sp_344_37" TargetMode="External"/><Relationship Id="rId124" Type="http://schemas.openxmlformats.org/officeDocument/2006/relationships/hyperlink" Target="#co_anchor_F42024375594_1" TargetMode="External"/><Relationship Id="rId70" Type="http://schemas.openxmlformats.org/officeDocument/2006/relationships/hyperlink" Target="http://www.westlaw.com/Link/Document/FullText?findType=Y&amp;serNum=1977104038&amp;originatingDoc=Ic6be13231ffc11e080558336ea473530&amp;refType=RP&amp;originationContext=document&amp;vr=3.0&amp;rs=cblt1.0&amp;transitionType=DocumentItem&amp;contextData=(sc.Search)" TargetMode="External"/><Relationship Id="rId91" Type="http://schemas.openxmlformats.org/officeDocument/2006/relationships/hyperlink" Target="#co_anchor_F32024375594_1" TargetMode="External"/><Relationship Id="rId145" Type="http://schemas.openxmlformats.org/officeDocument/2006/relationships/hyperlink" Target="http://www.westlaw.com/Link/Document/FullText?findType=Y&amp;serNum=2015298122&amp;originatingDoc=Ic6be13231ffc11e080558336ea473530&amp;refType=RP&amp;originationContext=document&amp;vr=3.0&amp;rs=cblt1.0&amp;transitionType=DocumentItem&amp;contextData=(sc.Search)" TargetMode="External"/><Relationship Id="rId166"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87"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 Type="http://schemas.openxmlformats.org/officeDocument/2006/relationships/numbering" Target="numbering.xml"/><Relationship Id="rId212" Type="http://schemas.openxmlformats.org/officeDocument/2006/relationships/hyperlink" Target="http://www.westlaw.com/Link/Document/FullText?findType=Y&amp;serNum=2021800383&amp;originatingDoc=Ic6be13231ffc11e080558336ea473530&amp;refType=RP&amp;originationContext=document&amp;vr=3.0&amp;rs=cblt1.0&amp;transitionType=DocumentItem&amp;contextData=(sc.Search)" TargetMode="External"/><Relationship Id="rId28"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49" Type="http://schemas.openxmlformats.org/officeDocument/2006/relationships/hyperlink" Target="http://www.westlaw.com/Link/Document/FullText?findType=Y&amp;serNum=2016917859&amp;pubNum=4637&amp;originatingDoc=Ic6be13231ffc11e080558336ea473530&amp;refType=RP&amp;originationContext=document&amp;vr=3.0&amp;rs=cblt1.0&amp;transitionType=DocumentItem&amp;contextData=(sc.Search)" TargetMode="External"/><Relationship Id="rId114" Type="http://schemas.openxmlformats.org/officeDocument/2006/relationships/hyperlink" Target="http://www.westlaw.com/Link/Document/FullText?findType=Y&amp;serNum=1996235315&amp;pubNum=506&amp;originatingDoc=Ic6be13231ffc11e080558336ea473530&amp;refType=RP&amp;fi=co_pp_sp_506_823&amp;originationContext=document&amp;vr=3.0&amp;rs=cblt1.0&amp;transitionType=DocumentItem&amp;contextData=(sc.Search)#co_pp_sp_506_823" TargetMode="External"/><Relationship Id="rId60" Type="http://schemas.openxmlformats.org/officeDocument/2006/relationships/hyperlink" Target="http://www.westlaw.com/Link/Document/FullText?findType=Y&amp;serNum=2015487368&amp;pubNum=0000999&amp;originatingDoc=Ic6be13231ffc11e080558336ea473530&amp;refType=RP&amp;originationContext=document&amp;vr=3.0&amp;rs=cblt1.0&amp;transitionType=DocumentItem&amp;contextData=(sc.Search)" TargetMode="External"/><Relationship Id="rId81" Type="http://schemas.openxmlformats.org/officeDocument/2006/relationships/hyperlink" Target="http://www.westlaw.com/Link/Document/FullText?findType=Y&amp;serNum=0297010448&amp;pubNum=0109803&amp;originatingDoc=Ic6be13231ffc11e080558336ea473530&amp;refType=TS&amp;originationContext=document&amp;vr=3.0&amp;rs=cblt1.0&amp;transitionType=DocumentItem&amp;contextData=(sc.Search)" TargetMode="External"/><Relationship Id="rId135" Type="http://schemas.openxmlformats.org/officeDocument/2006/relationships/hyperlink" Target="http://www.westlaw.com/Link/Document/FullText?findType=L&amp;pubNum=1004365&amp;cite=USFRCPR23&amp;originatingDoc=Ic6be13231ffc11e080558336ea473530&amp;refType=LQ&amp;originationContext=document&amp;vr=3.0&amp;rs=cblt1.0&amp;transitionType=DocumentItem&amp;contextData=(sc.Search)" TargetMode="External"/><Relationship Id="rId156"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77" Type="http://schemas.openxmlformats.org/officeDocument/2006/relationships/hyperlink" Target="http://www.westlaw.com/Link/Document/FullText?findType=Y&amp;serNum=2011349544&amp;pubNum=4637&amp;originatingDoc=Ic6be13231ffc11e080558336ea473530&amp;refType=RP&amp;fi=co_pp_sp_4637_866&amp;originationContext=document&amp;vr=3.0&amp;rs=cblt1.0&amp;transitionType=DocumentItem&amp;contextData=(sc.Search)#co_pp_sp_4637_866" TargetMode="External"/><Relationship Id="rId198"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202" Type="http://schemas.openxmlformats.org/officeDocument/2006/relationships/hyperlink" Target="http://www.westlaw.com/Link/Document/FullText?findType=Y&amp;serNum=2011349544&amp;originatingDoc=Ic6be13231ffc11e080558336ea473530&amp;refType=RP&amp;originationContext=document&amp;vr=3.0&amp;rs=cblt1.0&amp;transitionType=DocumentItem&amp;contextData=(sc.Search)" TargetMode="External"/><Relationship Id="rId18" Type="http://schemas.openxmlformats.org/officeDocument/2006/relationships/hyperlink" Target="http://www.westlaw.com/Link/Document/FullText?findType=h&amp;pubNum=176284&amp;cite=0153131001&amp;originatingDoc=Ic6be13231ffc11e080558336ea473530&amp;refType=RQ&amp;originationContext=document&amp;vr=3.0&amp;rs=cblt1.0&amp;transitionType=DocumentItem&amp;contextData=(sc.Search)" TargetMode="External"/><Relationship Id="rId39" Type="http://schemas.openxmlformats.org/officeDocument/2006/relationships/hyperlink" Target="http://www.westlaw.com/Link/Document/FullText?entityType=disease&amp;entityId=Iaa9b49b2475411db9765f9243f53508a&amp;originationContext=document&amp;transitionType=DocumentItem&amp;contextData=(sc.Default)&amp;vr=3.0&amp;rs=cblt1.0" TargetMode="External"/><Relationship Id="rId50" Type="http://schemas.openxmlformats.org/officeDocument/2006/relationships/hyperlink" Target="http://www.westlaw.com/Link/Document/FullText?findType=Y&amp;serNum=2019556522&amp;pubNum=4637&amp;originatingDoc=Ic6be13231ffc11e080558336ea473530&amp;refType=RP&amp;originationContext=document&amp;vr=3.0&amp;rs=cblt1.0&amp;transitionType=DocumentItem&amp;contextData=(sc.Search)" TargetMode="External"/><Relationship Id="rId104" Type="http://schemas.openxmlformats.org/officeDocument/2006/relationships/hyperlink" Target="http://www.westlaw.com/Link/Document/FullText?findType=Y&amp;serNum=1989153818&amp;pubNum=345&amp;originatingDoc=Ic6be13231ffc11e080558336ea473530&amp;refType=RP&amp;fi=co_pp_sp_345_1378&amp;originationContext=document&amp;vr=3.0&amp;rs=cblt1.0&amp;transitionType=DocumentItem&amp;contextData=(sc.Search)#co_pp_sp_345_1378" TargetMode="External"/><Relationship Id="rId125"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46" Type="http://schemas.openxmlformats.org/officeDocument/2006/relationships/hyperlink" Target="http://www.westlaw.com/Link/Document/FullText?findType=Y&amp;serNum=2016827938&amp;pubNum=0000999&amp;originatingDoc=Ic6be13231ffc11e080558336ea473530&amp;refType=RP&amp;originationContext=document&amp;vr=3.0&amp;rs=cblt1.0&amp;transitionType=DocumentItem&amp;contextData=(sc.Search)" TargetMode="External"/><Relationship Id="rId167"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88"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71" Type="http://schemas.openxmlformats.org/officeDocument/2006/relationships/hyperlink" Target="http://www.westlaw.com/Link/Document/FullText?findType=Y&amp;serNum=1977104038&amp;originatingDoc=Ic6be13231ffc11e080558336ea473530&amp;refType=RP&amp;originationContext=document&amp;vr=3.0&amp;rs=cblt1.0&amp;transitionType=DocumentItem&amp;contextData=(sc.Search)" TargetMode="External"/><Relationship Id="rId92"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213" Type="http://schemas.openxmlformats.org/officeDocument/2006/relationships/hyperlink" Target="http://www.westlaw.com/Link/Document/FullText?findType=Y&amp;serNum=2021800383&amp;originatingDoc=Ic6be13231ffc11e080558336ea473530&amp;refType=RP&amp;originationContext=document&amp;vr=3.0&amp;rs=cblt1.0&amp;transitionType=DocumentItem&amp;contextData=(sc.Search)" TargetMode="External"/><Relationship Id="rId2" Type="http://schemas.openxmlformats.org/officeDocument/2006/relationships/styles" Target="styles.xml"/><Relationship Id="rId29" Type="http://schemas.openxmlformats.org/officeDocument/2006/relationships/hyperlink" Target="http://www.westlaw.com/Link/Document/FullText?entityType=disease&amp;entityId=I17358730ff5111dc84008c7818c06073&amp;originationContext=document&amp;transitionType=DocumentItem&amp;contextData=(sc.Default)&amp;vr=3.0&amp;rs=cblt1.0" TargetMode="External"/><Relationship Id="rId40" Type="http://schemas.openxmlformats.org/officeDocument/2006/relationships/hyperlink" Target="http://www.westlaw.com/Link/Document/FullText?findType=Y&amp;serNum=0297010162&amp;pubNum=0109803&amp;originatingDoc=Ic6be13231ffc11e080558336ea473530&amp;refType=TS&amp;originationContext=document&amp;vr=3.0&amp;rs=cblt1.0&amp;transitionType=DocumentItem&amp;contextData=(sc.Search)" TargetMode="External"/><Relationship Id="rId115"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36"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57" Type="http://schemas.openxmlformats.org/officeDocument/2006/relationships/hyperlink" Target="http://www.westlaw.com/Link/Document/FullText?findType=Y&amp;serNum=1974108744&amp;originatingDoc=Ic6be13231ffc11e080558336ea473530&amp;refType=RP&amp;originationContext=document&amp;vr=3.0&amp;rs=cblt1.0&amp;transitionType=DocumentItem&amp;contextData=(sc.Search)" TargetMode="External"/><Relationship Id="rId178" Type="http://schemas.openxmlformats.org/officeDocument/2006/relationships/hyperlink" Target="http://www.westlaw.com/Link/Document/FullText?findType=Y&amp;serNum=2010211036&amp;pubNum=4637&amp;originatingDoc=Ic6be13231ffc11e080558336ea473530&amp;refType=RP&amp;fi=co_pp_sp_4637_632&amp;originationContext=document&amp;vr=3.0&amp;rs=cblt1.0&amp;transitionType=DocumentItem&amp;contextData=(sc.Search)#co_pp_sp_4637_632" TargetMode="External"/><Relationship Id="rId61" Type="http://schemas.openxmlformats.org/officeDocument/2006/relationships/hyperlink" Target="http://www.westlaw.com/Link/Document/FullText?findType=Y&amp;serNum=2021270598&amp;pubNum=506&amp;originatingDoc=Ic6be13231ffc11e080558336ea473530&amp;refType=RP&amp;fi=co_pp_sp_506_128&amp;originationContext=document&amp;vr=3.0&amp;rs=cblt1.0&amp;transitionType=DocumentItem&amp;contextData=(sc.Search)#co_pp_sp_506_128" TargetMode="External"/><Relationship Id="rId82" Type="http://schemas.openxmlformats.org/officeDocument/2006/relationships/hyperlink" Target="http://www.westlaw.com/Link/Document/FullText?findType=Y&amp;serNum=0298834127&amp;pubNum=0133562&amp;originatingDoc=Ic6be13231ffc11e080558336ea473530&amp;refType=TS&amp;originationContext=document&amp;vr=3.0&amp;rs=cblt1.0&amp;transitionType=DocumentItem&amp;contextData=(sc.Search)" TargetMode="External"/><Relationship Id="rId199" Type="http://schemas.openxmlformats.org/officeDocument/2006/relationships/hyperlink" Target="http://www.westlaw.com/Link/Document/FullText?findType=Y&amp;serNum=2015744357&amp;pubNum=4637&amp;originatingDoc=Ic6be13231ffc11e080558336ea473530&amp;refType=RP&amp;fi=co_pp_sp_4637_485&amp;originationContext=document&amp;vr=3.0&amp;rs=cblt1.0&amp;transitionType=DocumentItem&amp;contextData=(sc.Search)#co_pp_sp_4637_485" TargetMode="External"/><Relationship Id="rId203"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9" Type="http://schemas.openxmlformats.org/officeDocument/2006/relationships/hyperlink" Target="http://www.westlaw.com/Link/Document/FullText?findType=h&amp;pubNum=176284&amp;cite=0226421201&amp;originatingDoc=Ic6be13231ffc11e080558336ea473530&amp;refType=RQ&amp;originationContext=document&amp;vr=3.0&amp;rs=cblt1.0&amp;transitionType=DocumentItem&amp;contextData=(sc.Search)" TargetMode="External"/><Relationship Id="rId30" Type="http://schemas.openxmlformats.org/officeDocument/2006/relationships/hyperlink" Target="http://www.westlaw.com/Link/Document/FullText?findType=Y&amp;serNum=2007718784&amp;pubNum=4637&amp;originatingDoc=Ic6be13231ffc11e080558336ea473530&amp;refType=RP&amp;originationContext=document&amp;vr=3.0&amp;rs=cblt1.0&amp;transitionType=DocumentItem&amp;contextData=(sc.Search)" TargetMode="External"/><Relationship Id="rId105" Type="http://schemas.openxmlformats.org/officeDocument/2006/relationships/hyperlink" Target="http://www.westlaw.com/Link/Document/FullText?findType=Y&amp;serNum=2019983199&amp;pubNum=506&amp;originatingDoc=Ic6be13231ffc11e080558336ea473530&amp;refType=RP&amp;fi=co_pp_sp_506_540&amp;originationContext=document&amp;vr=3.0&amp;rs=cblt1.0&amp;transitionType=DocumentItem&amp;contextData=(sc.Search)#co_pp_sp_506_540" TargetMode="External"/><Relationship Id="rId126"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47" Type="http://schemas.openxmlformats.org/officeDocument/2006/relationships/hyperlink" Target="http://www.westlaw.com/Link/Document/FullText?findType=Y&amp;serNum=2015744357&amp;pubNum=4637&amp;originatingDoc=Ic6be13231ffc11e080558336ea473530&amp;refType=RP&amp;fi=co_pp_sp_4637_457&amp;originationContext=document&amp;vr=3.0&amp;rs=cblt1.0&amp;transitionType=DocumentItem&amp;contextData=(sc.Search)#co_pp_sp_4637_457" TargetMode="External"/><Relationship Id="rId168" Type="http://schemas.openxmlformats.org/officeDocument/2006/relationships/hyperlink" Target="http://www.westlaw.com/Link/Document/FullText?findType=Y&amp;serNum=2016917859&amp;pubNum=4637&amp;originatingDoc=Ic6be13231ffc11e080558336ea473530&amp;refType=RP&amp;fi=co_pp_sp_4637_616&amp;originationContext=document&amp;vr=3.0&amp;rs=cblt1.0&amp;transitionType=DocumentItem&amp;contextData=(sc.Search)#co_pp_sp_4637_6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19804</Words>
  <Characters>112885</Characters>
  <Application>Microsoft Office Word</Application>
  <DocSecurity>0</DocSecurity>
  <Lines>940</Lines>
  <Paragraphs>264</Paragraphs>
  <ScaleCrop>false</ScaleCrop>
  <Company/>
  <LinksUpToDate>false</LinksUpToDate>
  <CharactersWithSpaces>132425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 Burch</cp:lastModifiedBy>
  <cp:revision>2</cp:revision>
  <dcterms:created xsi:type="dcterms:W3CDTF">2018-06-14T09:43:00Z</dcterms:created>
  <dcterms:modified xsi:type="dcterms:W3CDTF">2018-06-14T09:43:00Z</dcterms:modified>
</cp:coreProperties>
</file>