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226BA">
      <w:pPr>
        <w:widowControl w:val="0"/>
        <w:autoSpaceDE w:val="0"/>
        <w:autoSpaceDN w:val="0"/>
        <w:adjustRightInd w:val="0"/>
        <w:rPr>
          <w:sz w:val="24"/>
          <w:szCs w:val="24"/>
        </w:rPr>
      </w:pPr>
      <w:bookmarkStart w:id="0" w:name="_GoBack"/>
      <w:bookmarkEnd w:id="0"/>
    </w:p>
    <w:p w:rsidR="00000000" w:rsidRDefault="002226BA">
      <w:pPr>
        <w:widowControl w:val="0"/>
        <w:autoSpaceDE w:val="0"/>
        <w:autoSpaceDN w:val="0"/>
        <w:adjustRightInd w:val="0"/>
        <w:rPr>
          <w:rFonts w:ascii="Arial" w:hAnsi="Arial" w:cs="Arial"/>
          <w:sz w:val="24"/>
          <w:szCs w:val="24"/>
        </w:rPr>
        <w:sectPr w:rsidR="00000000">
          <w:headerReference w:type="default" r:id="rId8"/>
          <w:footerReference w:type="default" r:id="rId9"/>
          <w:pgSz w:w="12240" w:h="15840"/>
          <w:pgMar w:top="1800" w:right="1080" w:bottom="1080" w:left="1080" w:header="720" w:footer="720" w:gutter="0"/>
          <w:cols w:space="720"/>
          <w:noEndnote/>
        </w:sectPr>
      </w:pPr>
    </w:p>
    <w:p w:rsidR="00000000" w:rsidRDefault="002226BA">
      <w:pPr>
        <w:widowControl w:val="0"/>
        <w:autoSpaceDE w:val="0"/>
        <w:autoSpaceDN w:val="0"/>
        <w:adjustRightInd w:val="0"/>
        <w:jc w:val="both"/>
        <w:rPr>
          <w:color w:val="000000"/>
        </w:rPr>
      </w:pPr>
      <w:bookmarkStart w:id="1" w:name="co_document_1"/>
      <w:bookmarkStart w:id="2" w:name="I777da39f3af411e28a21ccb9036b2470_Target"/>
      <w:bookmarkEnd w:id="1"/>
      <w:bookmarkEnd w:id="2"/>
    </w:p>
    <w:p w:rsidR="00000000" w:rsidRDefault="002226BA">
      <w:pPr>
        <w:widowControl w:val="0"/>
        <w:autoSpaceDE w:val="0"/>
        <w:autoSpaceDN w:val="0"/>
        <w:adjustRightInd w:val="0"/>
        <w:jc w:val="both"/>
        <w:rPr>
          <w:color w:val="000000"/>
          <w:sz w:val="16"/>
          <w:szCs w:val="16"/>
        </w:rPr>
      </w:pPr>
      <w:bookmarkStart w:id="3" w:name="co_readingModeKC_1"/>
      <w:bookmarkEnd w:id="3"/>
    </w:p>
    <w:p w:rsidR="00000000" w:rsidRDefault="002226BA">
      <w:pPr>
        <w:widowControl w:val="0"/>
        <w:autoSpaceDE w:val="0"/>
        <w:autoSpaceDN w:val="0"/>
        <w:adjustRightInd w:val="0"/>
        <w:jc w:val="both"/>
        <w:rPr>
          <w:color w:val="000000"/>
          <w:sz w:val="16"/>
          <w:szCs w:val="16"/>
        </w:rPr>
      </w:pPr>
      <w:bookmarkStart w:id="4" w:name="co_readingModeCitatorFlag_1"/>
      <w:bookmarkEnd w:id="4"/>
      <w:r>
        <w:rPr>
          <w:noProof/>
          <w:color w:val="000000"/>
          <w:sz w:val="16"/>
          <w:szCs w:val="16"/>
        </w:rPr>
        <w:drawing>
          <wp:inline distT="0" distB="0" distL="0" distR="0">
            <wp:extent cx="161925" cy="161925"/>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0"/>
          <w:sz w:val="16"/>
          <w:szCs w:val="16"/>
        </w:rPr>
        <w:t>KeyCite Yellow Flag - Negative Treatment</w:t>
      </w:r>
    </w:p>
    <w:p w:rsidR="00000000" w:rsidRDefault="002226BA">
      <w:pPr>
        <w:widowControl w:val="0"/>
        <w:numPr>
          <w:ilvl w:val="0"/>
          <w:numId w:val="1"/>
        </w:numPr>
        <w:autoSpaceDE w:val="0"/>
        <w:autoSpaceDN w:val="0"/>
        <w:adjustRightInd w:val="0"/>
        <w:ind w:hanging="360"/>
        <w:jc w:val="both"/>
        <w:rPr>
          <w:color w:val="000000"/>
          <w:sz w:val="16"/>
          <w:szCs w:val="16"/>
        </w:rPr>
      </w:pPr>
      <w:bookmarkStart w:id="5" w:name="co_readingModeNegativeTreatment_1"/>
      <w:bookmarkEnd w:id="5"/>
      <w:r>
        <w:rPr>
          <w:color w:val="000000"/>
          <w:sz w:val="16"/>
          <w:szCs w:val="16"/>
        </w:rPr>
        <w:t xml:space="preserve">Declined to Extend by </w:t>
      </w:r>
      <w:hyperlink r:id="rId12" w:history="1">
        <w:r>
          <w:rPr>
            <w:color w:val="000000"/>
            <w:sz w:val="16"/>
            <w:szCs w:val="16"/>
          </w:rPr>
          <w:t xml:space="preserve">Hexum v. Eli Lilly and Company, </w:t>
        </w:r>
      </w:hyperlink>
      <w:r>
        <w:rPr>
          <w:color w:val="000000"/>
          <w:sz w:val="16"/>
          <w:szCs w:val="16"/>
        </w:rPr>
        <w:t>C.D.Cal., August 18, 2015</w:t>
      </w:r>
    </w:p>
    <w:p w:rsidR="00000000" w:rsidRDefault="002226BA">
      <w:pPr>
        <w:widowControl w:val="0"/>
        <w:autoSpaceDE w:val="0"/>
        <w:autoSpaceDN w:val="0"/>
        <w:adjustRightInd w:val="0"/>
        <w:jc w:val="center"/>
        <w:rPr>
          <w:rFonts w:ascii="Georgia" w:hAnsi="Georgia" w:cs="Georgia"/>
          <w:color w:val="000000"/>
        </w:rPr>
      </w:pPr>
      <w:r>
        <w:rPr>
          <w:rFonts w:ascii="Georgia" w:hAnsi="Georgia" w:cs="Georgia"/>
          <w:color w:val="000000"/>
        </w:rPr>
        <w:t>700 F.3d 1161</w:t>
      </w:r>
    </w:p>
    <w:p w:rsidR="00000000" w:rsidRDefault="002226BA">
      <w:pPr>
        <w:widowControl w:val="0"/>
        <w:autoSpaceDE w:val="0"/>
        <w:autoSpaceDN w:val="0"/>
        <w:adjustRightInd w:val="0"/>
        <w:jc w:val="center"/>
        <w:rPr>
          <w:rFonts w:ascii="Georgia" w:hAnsi="Georgia" w:cs="Georgia"/>
          <w:color w:val="000000"/>
        </w:rPr>
      </w:pPr>
      <w:r>
        <w:rPr>
          <w:rFonts w:ascii="Georgia" w:hAnsi="Georgia" w:cs="Georgia"/>
          <w:color w:val="000000"/>
        </w:rPr>
        <w:t>United States Court of Appeals,</w:t>
      </w:r>
    </w:p>
    <w:p w:rsidR="00000000" w:rsidRDefault="002226BA">
      <w:pPr>
        <w:widowControl w:val="0"/>
        <w:autoSpaceDE w:val="0"/>
        <w:autoSpaceDN w:val="0"/>
        <w:adjustRightInd w:val="0"/>
        <w:jc w:val="center"/>
        <w:rPr>
          <w:rFonts w:ascii="Georgia" w:hAnsi="Georgia" w:cs="Georgia"/>
          <w:color w:val="000000"/>
        </w:rPr>
      </w:pPr>
      <w:r>
        <w:rPr>
          <w:rFonts w:ascii="Georgia" w:hAnsi="Georgia" w:cs="Georgia"/>
          <w:color w:val="000000"/>
        </w:rPr>
        <w:t>Eighth Circuit.</w:t>
      </w:r>
    </w:p>
    <w:p w:rsidR="00000000" w:rsidRDefault="002226BA">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In re LEVAQUIN PRODUCTS LIABILITY LITIGATION.</w:t>
      </w:r>
    </w:p>
    <w:p w:rsidR="00000000" w:rsidRDefault="002226BA">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John Schedin, Plaintiff</w:t>
      </w:r>
      <w:r>
        <w:rPr>
          <w:rFonts w:ascii="Georgia" w:hAnsi="Georgia" w:cs="Georgia"/>
          <w:color w:val="252525"/>
        </w:rPr>
        <w:t>–</w:t>
      </w:r>
      <w:r>
        <w:rPr>
          <w:rFonts w:ascii="Georgia" w:hAnsi="Georgia" w:cs="Georgia"/>
          <w:color w:val="252525"/>
        </w:rPr>
        <w:t>Appellee</w:t>
      </w:r>
    </w:p>
    <w:p w:rsidR="00000000" w:rsidRDefault="002226BA">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v.</w:t>
      </w:r>
    </w:p>
    <w:p w:rsidR="00000000" w:rsidRDefault="002226BA">
      <w:pPr>
        <w:widowControl w:val="0"/>
        <w:autoSpaceDE w:val="0"/>
        <w:autoSpaceDN w:val="0"/>
        <w:adjustRightInd w:val="0"/>
        <w:spacing w:after="200"/>
        <w:ind w:left="100" w:right="100"/>
        <w:jc w:val="center"/>
        <w:rPr>
          <w:rFonts w:ascii="Georgia" w:hAnsi="Georgia" w:cs="Georgia"/>
          <w:color w:val="252525"/>
        </w:rPr>
      </w:pPr>
      <w:hyperlink r:id="rId13" w:history="1">
        <w:r>
          <w:rPr>
            <w:rFonts w:ascii="Georgia" w:hAnsi="Georgia" w:cs="Georgia"/>
            <w:color w:val="000000"/>
          </w:rPr>
          <w:t>Ortho–McNeil–Janssen Pharmaceuticals, Inc.</w:t>
        </w:r>
      </w:hyperlink>
      <w:r>
        <w:rPr>
          <w:rFonts w:ascii="Georgia" w:hAnsi="Georgia" w:cs="Georgia"/>
          <w:color w:val="252525"/>
        </w:rPr>
        <w:t>, Defendant</w:t>
      </w:r>
      <w:r>
        <w:rPr>
          <w:rFonts w:ascii="Georgia" w:hAnsi="Georgia" w:cs="Georgia"/>
          <w:color w:val="252525"/>
        </w:rPr>
        <w:t>–</w:t>
      </w:r>
      <w:r>
        <w:rPr>
          <w:rFonts w:ascii="Georgia" w:hAnsi="Georgia" w:cs="Georgia"/>
          <w:color w:val="252525"/>
        </w:rPr>
        <w:t>Appellant.</w:t>
      </w:r>
    </w:p>
    <w:p w:rsidR="00000000" w:rsidRDefault="002226BA">
      <w:pPr>
        <w:widowControl w:val="0"/>
        <w:autoSpaceDE w:val="0"/>
        <w:autoSpaceDN w:val="0"/>
        <w:adjustRightInd w:val="0"/>
        <w:ind w:left="200"/>
        <w:jc w:val="center"/>
        <w:rPr>
          <w:rFonts w:ascii="Georgia" w:hAnsi="Georgia" w:cs="Georgia"/>
          <w:color w:val="000000"/>
        </w:rPr>
      </w:pPr>
      <w:r>
        <w:rPr>
          <w:rFonts w:ascii="Georgia" w:hAnsi="Georgia" w:cs="Georgia"/>
          <w:color w:val="000000"/>
        </w:rPr>
        <w:t>No. 11</w:t>
      </w:r>
      <w:r>
        <w:rPr>
          <w:rFonts w:ascii="Georgia" w:hAnsi="Georgia" w:cs="Georgia"/>
          <w:color w:val="000000"/>
        </w:rPr>
        <w:t>–</w:t>
      </w:r>
      <w:r>
        <w:rPr>
          <w:rFonts w:ascii="Georgia" w:hAnsi="Georgia" w:cs="Georgia"/>
          <w:color w:val="000000"/>
        </w:rPr>
        <w:t>3117.</w:t>
      </w:r>
    </w:p>
    <w:p w:rsidR="00000000" w:rsidRDefault="002226BA">
      <w:pPr>
        <w:widowControl w:val="0"/>
        <w:autoSpaceDE w:val="0"/>
        <w:autoSpaceDN w:val="0"/>
        <w:adjustRightInd w:val="0"/>
        <w:ind w:left="200"/>
        <w:jc w:val="center"/>
        <w:rPr>
          <w:rFonts w:ascii="Georgia" w:hAnsi="Georgia" w:cs="Georgia"/>
          <w:color w:val="000000"/>
        </w:rPr>
      </w:pPr>
      <w:r>
        <w:rPr>
          <w:rFonts w:ascii="Georgia" w:hAnsi="Georgia" w:cs="Georgia"/>
          <w:color w:val="000000"/>
        </w:rPr>
        <w:t>|</w:t>
      </w:r>
    </w:p>
    <w:p w:rsidR="00000000" w:rsidRDefault="002226BA">
      <w:pPr>
        <w:widowControl w:val="0"/>
        <w:autoSpaceDE w:val="0"/>
        <w:autoSpaceDN w:val="0"/>
        <w:adjustRightInd w:val="0"/>
        <w:ind w:left="200"/>
        <w:jc w:val="center"/>
        <w:rPr>
          <w:rFonts w:ascii="Georgia" w:hAnsi="Georgia" w:cs="Georgia"/>
          <w:color w:val="000000"/>
        </w:rPr>
      </w:pPr>
      <w:r>
        <w:rPr>
          <w:rFonts w:ascii="Georgia" w:hAnsi="Georgia" w:cs="Georgia"/>
          <w:color w:val="000000"/>
        </w:rPr>
        <w:t>Submitted: May 17, 2012.</w:t>
      </w:r>
    </w:p>
    <w:p w:rsidR="00000000" w:rsidRDefault="002226BA">
      <w:pPr>
        <w:widowControl w:val="0"/>
        <w:autoSpaceDE w:val="0"/>
        <w:autoSpaceDN w:val="0"/>
        <w:adjustRightInd w:val="0"/>
        <w:ind w:left="200"/>
        <w:jc w:val="center"/>
        <w:rPr>
          <w:rFonts w:ascii="Georgia" w:hAnsi="Georgia" w:cs="Georgia"/>
          <w:color w:val="000000"/>
        </w:rPr>
      </w:pPr>
      <w:r>
        <w:rPr>
          <w:rFonts w:ascii="Georgia" w:hAnsi="Georgia" w:cs="Georgia"/>
          <w:color w:val="000000"/>
        </w:rPr>
        <w:t>|</w:t>
      </w:r>
    </w:p>
    <w:p w:rsidR="00000000" w:rsidRDefault="002226BA">
      <w:pPr>
        <w:widowControl w:val="0"/>
        <w:autoSpaceDE w:val="0"/>
        <w:autoSpaceDN w:val="0"/>
        <w:adjustRightInd w:val="0"/>
        <w:ind w:left="200"/>
        <w:jc w:val="center"/>
        <w:rPr>
          <w:rFonts w:ascii="Georgia" w:hAnsi="Georgia" w:cs="Georgia"/>
          <w:color w:val="000000"/>
        </w:rPr>
      </w:pPr>
      <w:r>
        <w:rPr>
          <w:rFonts w:ascii="Georgia" w:hAnsi="Georgia" w:cs="Georgia"/>
          <w:color w:val="000000"/>
        </w:rPr>
        <w:t>Decided: Nov. 30, 2012.</w:t>
      </w:r>
    </w:p>
    <w:p w:rsidR="00000000" w:rsidRDefault="002226BA">
      <w:pPr>
        <w:widowControl w:val="0"/>
        <w:autoSpaceDE w:val="0"/>
        <w:autoSpaceDN w:val="0"/>
        <w:adjustRightInd w:val="0"/>
        <w:ind w:left="200"/>
        <w:jc w:val="center"/>
        <w:rPr>
          <w:rFonts w:ascii="Georgia" w:hAnsi="Georgia" w:cs="Georgia"/>
          <w:color w:val="000000"/>
        </w:rPr>
      </w:pPr>
      <w:r>
        <w:rPr>
          <w:rFonts w:ascii="Georgia" w:hAnsi="Georgia" w:cs="Georgia"/>
          <w:color w:val="000000"/>
        </w:rPr>
        <w:t>|</w:t>
      </w:r>
    </w:p>
    <w:p w:rsidR="00000000" w:rsidRDefault="002226BA">
      <w:pPr>
        <w:widowControl w:val="0"/>
        <w:autoSpaceDE w:val="0"/>
        <w:autoSpaceDN w:val="0"/>
        <w:adjustRightInd w:val="0"/>
        <w:ind w:left="200"/>
        <w:jc w:val="center"/>
        <w:rPr>
          <w:rFonts w:ascii="Georgia" w:hAnsi="Georgia" w:cs="Georgia"/>
          <w:color w:val="000000"/>
          <w:sz w:val="16"/>
          <w:szCs w:val="16"/>
        </w:rPr>
      </w:pPr>
      <w:r>
        <w:rPr>
          <w:rFonts w:ascii="Georgia" w:hAnsi="Georgia" w:cs="Georgia"/>
          <w:color w:val="000000"/>
        </w:rPr>
        <w:t>Rehearing and Rehearing En Banc Denied Jan. 23, 2013.</w:t>
      </w:r>
      <w:bookmarkStart w:id="6" w:name="co_footnoteReference_B0012029301530_ID0E"/>
      <w:bookmarkEnd w:id="6"/>
      <w:r>
        <w:rPr>
          <w:rFonts w:ascii="Georgia" w:hAnsi="Georgia" w:cs="Georgia"/>
          <w:color w:val="000000"/>
          <w:sz w:val="16"/>
          <w:szCs w:val="16"/>
        </w:rPr>
        <w:fldChar w:fldCharType="begin"/>
      </w:r>
      <w:r>
        <w:rPr>
          <w:rFonts w:ascii="Georgia" w:hAnsi="Georgia" w:cs="Georgia"/>
          <w:color w:val="000000"/>
          <w:sz w:val="16"/>
          <w:szCs w:val="16"/>
        </w:rPr>
        <w:instrText>HYPERLINK</w:instrText>
      </w:r>
      <w:r>
        <w:rPr>
          <w:rFonts w:ascii="Georgia" w:hAnsi="Georgia" w:cs="Georgia"/>
          <w:color w:val="000000"/>
          <w:sz w:val="16"/>
          <w:szCs w:val="16"/>
        </w:rPr>
        <w:instrText xml:space="preserve"> "#co_footnote_B0012029301530_1" </w:instrText>
      </w:r>
      <w:r>
        <w:rPr>
          <w:rFonts w:ascii="Georgia" w:hAnsi="Georgia" w:cs="Georgia"/>
          <w:color w:val="000000"/>
          <w:sz w:val="16"/>
          <w:szCs w:val="16"/>
        </w:rPr>
      </w:r>
      <w:r>
        <w:rPr>
          <w:rFonts w:ascii="Georgia" w:hAnsi="Georgia" w:cs="Georgia"/>
          <w:color w:val="000000"/>
          <w:sz w:val="16"/>
          <w:szCs w:val="16"/>
        </w:rPr>
        <w:fldChar w:fldCharType="separate"/>
      </w:r>
      <w:r>
        <w:rPr>
          <w:rFonts w:ascii="Georgia" w:hAnsi="Georgia" w:cs="Georgia"/>
          <w:color w:val="000000"/>
          <w:sz w:val="16"/>
          <w:szCs w:val="16"/>
          <w:vertAlign w:val="superscript"/>
        </w:rPr>
        <w:t>*</w:t>
      </w:r>
      <w:r>
        <w:rPr>
          <w:rFonts w:ascii="Georgia" w:hAnsi="Georgia" w:cs="Georgia"/>
          <w:color w:val="000000"/>
          <w:sz w:val="16"/>
          <w:szCs w:val="16"/>
        </w:rPr>
        <w:fldChar w:fldCharType="end"/>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7" w:name="co_footnote_B0012029301530_1"/>
          <w:bookmarkEnd w:id="7"/>
          <w:p w:rsidR="00000000" w:rsidRDefault="002226BA">
            <w:pPr>
              <w:widowControl w:val="0"/>
              <w:autoSpaceDE w:val="0"/>
              <w:autoSpaceDN w:val="0"/>
              <w:adjustRightInd w:val="0"/>
              <w:rPr>
                <w:rFonts w:ascii="Georgia" w:hAnsi="Georgia" w:cs="Georgia"/>
                <w:color w:val="000000"/>
              </w:rPr>
            </w:pPr>
            <w:r>
              <w:rPr>
                <w:rFonts w:ascii="Georgia" w:hAnsi="Georgia" w:cs="Georgia"/>
                <w:color w:val="000000"/>
              </w:rPr>
              <w:fldChar w:fldCharType="begin"/>
            </w:r>
            <w:r>
              <w:rPr>
                <w:rFonts w:ascii="Georgia" w:hAnsi="Georgia" w:cs="Georgia"/>
                <w:color w:val="000000"/>
              </w:rPr>
              <w:instrText>HYPERLINK</w:instrText>
            </w:r>
            <w:r>
              <w:rPr>
                <w:rFonts w:ascii="Georgia" w:hAnsi="Georgia" w:cs="Georgia"/>
                <w:color w:val="000000"/>
              </w:rPr>
              <w:instrText xml:space="preserve"> "</w:instrText>
            </w:r>
            <w:r>
              <w:rPr>
                <w:rFonts w:ascii="Georgia" w:hAnsi="Georgia" w:cs="Georgia"/>
                <w:color w:val="000000"/>
              </w:rPr>
              <w:instrText xml:space="preserve">#co_footnoteReference_B0012029301530_ID0E" </w:instrText>
            </w:r>
            <w:r>
              <w:rPr>
                <w:rFonts w:ascii="Georgia" w:hAnsi="Georgia" w:cs="Georgia"/>
                <w:color w:val="000000"/>
              </w:rPr>
            </w:r>
            <w:r>
              <w:rPr>
                <w:rFonts w:ascii="Georgia" w:hAnsi="Georgia" w:cs="Georgia"/>
                <w:color w:val="000000"/>
              </w:rPr>
              <w:fldChar w:fldCharType="separate"/>
            </w:r>
            <w:r>
              <w:rPr>
                <w:rFonts w:ascii="Georgia" w:hAnsi="Georgia" w:cs="Georgia"/>
                <w:color w:val="000000"/>
                <w:vertAlign w:val="superscript"/>
              </w:rPr>
              <w:t>*</w:t>
            </w:r>
            <w:r>
              <w:rPr>
                <w:rFonts w:ascii="Georgia" w:hAnsi="Georgia" w:cs="Georgia"/>
                <w:color w:val="000000"/>
              </w:rPr>
              <w:fldChar w:fldCharType="end"/>
            </w:r>
          </w:p>
          <w:p w:rsidR="00000000" w:rsidRDefault="002226BA">
            <w:pPr>
              <w:widowControl w:val="0"/>
              <w:autoSpaceDE w:val="0"/>
              <w:autoSpaceDN w:val="0"/>
              <w:adjustRightInd w:val="0"/>
              <w:rPr>
                <w:rFonts w:ascii="Georgia" w:hAnsi="Georgia" w:cs="Georgia"/>
                <w:color w:val="000000"/>
              </w:rPr>
            </w:pPr>
          </w:p>
        </w:tc>
        <w:tc>
          <w:tcPr>
            <w:tcW w:w="4040" w:type="dxa"/>
            <w:tcBorders>
              <w:top w:val="nil"/>
              <w:left w:val="nil"/>
              <w:bottom w:val="nil"/>
              <w:right w:val="nil"/>
            </w:tcBorders>
            <w:tcMar>
              <w:top w:w="90" w:type="dxa"/>
              <w:bottom w:w="90" w:type="dxa"/>
            </w:tcMar>
          </w:tcPr>
          <w:p w:rsidR="00000000" w:rsidRDefault="002226BA">
            <w:pPr>
              <w:widowControl w:val="0"/>
              <w:autoSpaceDE w:val="0"/>
              <w:autoSpaceDN w:val="0"/>
              <w:adjustRightInd w:val="0"/>
              <w:jc w:val="both"/>
              <w:rPr>
                <w:rFonts w:ascii="Georgia" w:hAnsi="Georgia" w:cs="Georgia"/>
                <w:color w:val="000000"/>
                <w:sz w:val="18"/>
                <w:szCs w:val="18"/>
              </w:rPr>
            </w:pPr>
            <w:r>
              <w:rPr>
                <w:rFonts w:ascii="Georgia" w:hAnsi="Georgia" w:cs="Georgia"/>
                <w:color w:val="000000"/>
                <w:sz w:val="18"/>
                <w:szCs w:val="18"/>
              </w:rPr>
              <w:t xml:space="preserve">Judge </w:t>
            </w:r>
            <w:hyperlink r:id="rId14" w:history="1">
              <w:r>
                <w:rPr>
                  <w:rFonts w:ascii="Georgia" w:hAnsi="Georgia" w:cs="Georgia"/>
                  <w:color w:val="000000"/>
                  <w:sz w:val="18"/>
                  <w:szCs w:val="18"/>
                </w:rPr>
                <w:t>Murphy</w:t>
              </w:r>
            </w:hyperlink>
            <w:r>
              <w:rPr>
                <w:rFonts w:ascii="Georgia" w:hAnsi="Georgia" w:cs="Georgia"/>
                <w:color w:val="000000"/>
                <w:sz w:val="18"/>
                <w:szCs w:val="18"/>
              </w:rPr>
              <w:t xml:space="preserve"> and Judge </w:t>
            </w:r>
            <w:hyperlink r:id="rId15" w:history="1">
              <w:r>
                <w:rPr>
                  <w:rFonts w:ascii="Georgia" w:hAnsi="Georgia" w:cs="Georgia"/>
                  <w:color w:val="000000"/>
                  <w:sz w:val="18"/>
                  <w:szCs w:val="18"/>
                </w:rPr>
                <w:t>Bye</w:t>
              </w:r>
            </w:hyperlink>
            <w:r>
              <w:rPr>
                <w:rFonts w:ascii="Georgia" w:hAnsi="Georgia" w:cs="Georgia"/>
                <w:color w:val="000000"/>
                <w:sz w:val="18"/>
                <w:szCs w:val="18"/>
              </w:rPr>
              <w:t xml:space="preserve"> would grant the petition for rehearing en banc.</w:t>
            </w:r>
          </w:p>
          <w:p w:rsidR="00000000" w:rsidRDefault="002226BA">
            <w:pPr>
              <w:widowControl w:val="0"/>
              <w:autoSpaceDE w:val="0"/>
              <w:autoSpaceDN w:val="0"/>
              <w:adjustRightInd w:val="0"/>
              <w:jc w:val="both"/>
              <w:rPr>
                <w:rFonts w:ascii="Georgia" w:hAnsi="Georgia" w:cs="Georgia"/>
                <w:color w:val="000000"/>
                <w:sz w:val="18"/>
                <w:szCs w:val="18"/>
              </w:rPr>
            </w:pPr>
          </w:p>
        </w:tc>
      </w:tr>
    </w:tbl>
    <w:p w:rsidR="00000000" w:rsidRDefault="002226BA">
      <w:pPr>
        <w:widowControl w:val="0"/>
        <w:autoSpaceDE w:val="0"/>
        <w:autoSpaceDN w:val="0"/>
        <w:adjustRightInd w:val="0"/>
        <w:jc w:val="center"/>
        <w:rPr>
          <w:rFonts w:ascii="Georgia" w:hAnsi="Georgia" w:cs="Georgia"/>
          <w:color w:val="000000"/>
        </w:rPr>
      </w:pPr>
    </w:p>
    <w:p w:rsidR="00000000" w:rsidRDefault="002226BA">
      <w:pPr>
        <w:widowControl w:val="0"/>
        <w:autoSpaceDE w:val="0"/>
        <w:autoSpaceDN w:val="0"/>
        <w:adjustRightInd w:val="0"/>
        <w:spacing w:before="400"/>
        <w:jc w:val="both"/>
        <w:rPr>
          <w:b/>
          <w:bCs/>
          <w:color w:val="212121"/>
        </w:rPr>
      </w:pPr>
      <w:bookmarkStart w:id="8" w:name="co_synopsis_1"/>
      <w:bookmarkEnd w:id="8"/>
      <w:r>
        <w:rPr>
          <w:b/>
          <w:bCs/>
          <w:color w:val="212121"/>
        </w:rPr>
        <w:t>Synopsis</w:t>
      </w:r>
    </w:p>
    <w:p w:rsidR="00000000" w:rsidRDefault="002226BA">
      <w:pPr>
        <w:widowControl w:val="0"/>
        <w:autoSpaceDE w:val="0"/>
        <w:autoSpaceDN w:val="0"/>
        <w:adjustRightInd w:val="0"/>
        <w:jc w:val="both"/>
        <w:rPr>
          <w:color w:val="000000"/>
        </w:rPr>
      </w:pPr>
      <w:r>
        <w:rPr>
          <w:b/>
          <w:bCs/>
          <w:color w:val="000000"/>
        </w:rPr>
        <w:t>Background:</w:t>
      </w:r>
      <w:r>
        <w:rPr>
          <w:color w:val="000000"/>
        </w:rPr>
        <w:t xml:space="preserve"> Patient brought action against drug manufacture</w:t>
      </w:r>
      <w:r>
        <w:rPr>
          <w:color w:val="000000"/>
        </w:rPr>
        <w:t xml:space="preserve">r, alleging failure to warn about certain risks associated with its drug. After jury verdict and damages award in patient’s favor, The United States District Court for the District of Minnesota, </w:t>
      </w:r>
      <w:hyperlink r:id="rId16" w:history="1">
        <w:r>
          <w:rPr>
            <w:color w:val="000000"/>
          </w:rPr>
          <w:t>John R. Tunheim</w:t>
        </w:r>
      </w:hyperlink>
      <w:r>
        <w:rPr>
          <w:color w:val="000000"/>
        </w:rPr>
        <w:t xml:space="preserve">, J., </w:t>
      </w:r>
      <w:hyperlink r:id="rId17" w:history="1">
        <w:r>
          <w:rPr>
            <w:color w:val="000000"/>
          </w:rPr>
          <w:t>808 F.Supp.2d 1125,</w:t>
        </w:r>
      </w:hyperlink>
      <w:r>
        <w:rPr>
          <w:color w:val="000000"/>
        </w:rPr>
        <w:t xml:space="preserve"> denied manufacturer’s motions for new trial and for judgment as matter of law. Manufacturer appealed.</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spacing w:before="400"/>
        <w:jc w:val="both"/>
        <w:rPr>
          <w:color w:val="000000"/>
        </w:rPr>
      </w:pPr>
      <w:r>
        <w:rPr>
          <w:b/>
          <w:bCs/>
          <w:color w:val="000000"/>
        </w:rPr>
        <w:t>Holdings:</w:t>
      </w:r>
      <w:r>
        <w:rPr>
          <w:color w:val="000000"/>
        </w:rPr>
        <w:t xml:space="preserve"> The Court of Appeals, </w:t>
      </w:r>
      <w:hyperlink r:id="rId18" w:history="1">
        <w:r>
          <w:rPr>
            <w:color w:val="000000"/>
          </w:rPr>
          <w:t>Riley</w:t>
        </w:r>
      </w:hyperlink>
      <w:r>
        <w:rPr>
          <w:color w:val="000000"/>
        </w:rPr>
        <w:t>, Chief Judge, held that:</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hyperlink r:id="rId19" w:history="1">
        <w:r>
          <w:rPr>
            <w:color w:val="000000"/>
            <w:vertAlign w:val="superscript"/>
          </w:rPr>
          <w:t>[1]</w:t>
        </w:r>
      </w:hyperlink>
      <w:r>
        <w:rPr>
          <w:color w:val="000000"/>
        </w:rPr>
        <w:t xml:space="preserve"> jury reasonably concluded that manufacturer did not adequately communicate its warning to patient’s doctor;</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hyperlink r:id="rId20" w:history="1">
        <w:r>
          <w:rPr>
            <w:color w:val="000000"/>
            <w:vertAlign w:val="superscript"/>
          </w:rPr>
          <w:t>[2]</w:t>
        </w:r>
      </w:hyperlink>
      <w:r>
        <w:rPr>
          <w:color w:val="000000"/>
        </w:rPr>
        <w:t xml:space="preserve"> evidence supported causation element of patient’s claim; and</w:t>
      </w:r>
    </w:p>
    <w:p w:rsidR="00000000" w:rsidRDefault="002226BA">
      <w:pPr>
        <w:widowControl w:val="0"/>
        <w:autoSpaceDE w:val="0"/>
        <w:autoSpaceDN w:val="0"/>
        <w:adjustRightInd w:val="0"/>
        <w:jc w:val="both"/>
        <w:rPr>
          <w:color w:val="000000"/>
        </w:rPr>
      </w:pPr>
      <w:r>
        <w:rPr>
          <w:color w:val="000000"/>
        </w:rPr>
        <w:lastRenderedPageBreak/>
        <w:t> </w:t>
      </w:r>
    </w:p>
    <w:p w:rsidR="00000000" w:rsidRDefault="002226BA">
      <w:pPr>
        <w:widowControl w:val="0"/>
        <w:autoSpaceDE w:val="0"/>
        <w:autoSpaceDN w:val="0"/>
        <w:adjustRightInd w:val="0"/>
        <w:jc w:val="both"/>
        <w:rPr>
          <w:color w:val="000000"/>
        </w:rPr>
      </w:pPr>
      <w:hyperlink r:id="rId21" w:history="1">
        <w:r>
          <w:rPr>
            <w:color w:val="000000"/>
            <w:vertAlign w:val="superscript"/>
          </w:rPr>
          <w:t>[3]</w:t>
        </w:r>
      </w:hyperlink>
      <w:r>
        <w:rPr>
          <w:color w:val="000000"/>
        </w:rPr>
        <w:t xml:space="preserve"> punitive damages award was not supported by evidence.</w:t>
      </w:r>
    </w:p>
    <w:p w:rsidR="00000000" w:rsidRDefault="002226BA">
      <w:pPr>
        <w:widowControl w:val="0"/>
        <w:autoSpaceDE w:val="0"/>
        <w:autoSpaceDN w:val="0"/>
        <w:adjustRightInd w:val="0"/>
        <w:spacing w:after="20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 xml:space="preserve">Affirmed in part and reversed in part. </w:t>
      </w:r>
      <w:hyperlink r:id="rId22" w:history="1">
        <w:r>
          <w:rPr>
            <w:color w:val="000000"/>
          </w:rPr>
          <w:t>Bye</w:t>
        </w:r>
      </w:hyperlink>
      <w:r>
        <w:rPr>
          <w:color w:val="000000"/>
        </w:rPr>
        <w:t xml:space="preserve">, Circuit Judge, </w:t>
      </w:r>
      <w:r>
        <w:rPr>
          <w:color w:val="000000"/>
        </w:rPr>
        <w:t>concurred in part and dissented in part in separate opinion.</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spacing w:before="200" w:after="200"/>
        <w:jc w:val="both"/>
        <w:rPr>
          <w:b/>
          <w:bCs/>
          <w:color w:val="212121"/>
        </w:rPr>
      </w:pPr>
      <w:bookmarkStart w:id="9" w:name="co_attorneysAndLawFirms_1"/>
      <w:bookmarkEnd w:id="9"/>
      <w:r>
        <w:rPr>
          <w:b/>
          <w:bCs/>
          <w:color w:val="212121"/>
        </w:rPr>
        <w:t>Attorneys and Law Firms</w:t>
      </w:r>
    </w:p>
    <w:p w:rsidR="00000000" w:rsidRDefault="002226BA">
      <w:pPr>
        <w:widowControl w:val="0"/>
        <w:autoSpaceDE w:val="0"/>
        <w:autoSpaceDN w:val="0"/>
        <w:adjustRightInd w:val="0"/>
        <w:jc w:val="both"/>
        <w:rPr>
          <w:color w:val="000000"/>
        </w:rPr>
      </w:pPr>
      <w:bookmarkStart w:id="10" w:name="co_pp_sp_506_1163_1"/>
      <w:bookmarkEnd w:id="10"/>
      <w:r>
        <w:rPr>
          <w:b/>
          <w:bCs/>
          <w:color w:val="000000"/>
        </w:rPr>
        <w:t>*1163</w:t>
      </w:r>
      <w:r>
        <w:rPr>
          <w:color w:val="000000"/>
        </w:rPr>
        <w:t xml:space="preserve"> </w:t>
      </w:r>
      <w:hyperlink r:id="rId23" w:history="1">
        <w:r>
          <w:rPr>
            <w:color w:val="000000"/>
          </w:rPr>
          <w:t>Charles Lifland</w:t>
        </w:r>
      </w:hyperlink>
      <w:r>
        <w:rPr>
          <w:color w:val="000000"/>
        </w:rPr>
        <w:t xml:space="preserve">, argued, Los Angeles, CA, </w:t>
      </w:r>
      <w:hyperlink r:id="rId24" w:history="1">
        <w:r>
          <w:rPr>
            <w:color w:val="000000"/>
          </w:rPr>
          <w:t>Tracy Joan Van Stee</w:t>
        </w:r>
        <w:r>
          <w:rPr>
            <w:color w:val="000000"/>
          </w:rPr>
          <w:t>nburgh</w:t>
        </w:r>
      </w:hyperlink>
      <w:r>
        <w:rPr>
          <w:color w:val="000000"/>
        </w:rPr>
        <w:t xml:space="preserve">, </w:t>
      </w:r>
      <w:hyperlink r:id="rId25" w:history="1">
        <w:r>
          <w:rPr>
            <w:color w:val="000000"/>
          </w:rPr>
          <w:t>Dana M. Lenahan</w:t>
        </w:r>
      </w:hyperlink>
      <w:r>
        <w:rPr>
          <w:color w:val="000000"/>
        </w:rPr>
        <w:t xml:space="preserve">, Minneapolis, MN, </w:t>
      </w:r>
      <w:hyperlink r:id="rId26" w:history="1">
        <w:r>
          <w:rPr>
            <w:color w:val="000000"/>
          </w:rPr>
          <w:t>John Dames</w:t>
        </w:r>
      </w:hyperlink>
      <w:r>
        <w:rPr>
          <w:color w:val="000000"/>
        </w:rPr>
        <w:t xml:space="preserve">, Chicago, IL, </w:t>
      </w:r>
      <w:hyperlink r:id="rId27" w:history="1">
        <w:r>
          <w:rPr>
            <w:color w:val="000000"/>
          </w:rPr>
          <w:t>Cynthia Ann Merrill</w:t>
        </w:r>
      </w:hyperlink>
      <w:r>
        <w:rPr>
          <w:color w:val="000000"/>
        </w:rPr>
        <w:t>, Los Angeles, CA, on the brief, for appellant.</w:t>
      </w:r>
    </w:p>
    <w:p w:rsidR="00000000" w:rsidRDefault="002226BA">
      <w:pPr>
        <w:widowControl w:val="0"/>
        <w:autoSpaceDE w:val="0"/>
        <w:autoSpaceDN w:val="0"/>
        <w:adjustRightInd w:val="0"/>
        <w:spacing w:before="200"/>
        <w:jc w:val="both"/>
        <w:rPr>
          <w:color w:val="000000"/>
        </w:rPr>
      </w:pPr>
      <w:hyperlink r:id="rId28" w:history="1">
        <w:r>
          <w:rPr>
            <w:color w:val="000000"/>
          </w:rPr>
          <w:t>Charles M. Wolfson</w:t>
        </w:r>
      </w:hyperlink>
      <w:r>
        <w:rPr>
          <w:color w:val="000000"/>
        </w:rPr>
        <w:t xml:space="preserve">, argued, New York, NY, </w:t>
      </w:r>
      <w:hyperlink r:id="rId29" w:history="1">
        <w:r>
          <w:rPr>
            <w:color w:val="000000"/>
          </w:rPr>
          <w:t>Ronald S. Golds</w:t>
        </w:r>
        <w:r>
          <w:rPr>
            <w:color w:val="000000"/>
          </w:rPr>
          <w:t>er</w:t>
        </w:r>
      </w:hyperlink>
      <w:r>
        <w:rPr>
          <w:color w:val="000000"/>
        </w:rPr>
        <w:t xml:space="preserve">, Minneapolis, MN, </w:t>
      </w:r>
      <w:hyperlink r:id="rId30" w:history="1">
        <w:r>
          <w:rPr>
            <w:color w:val="000000"/>
          </w:rPr>
          <w:t>Lewis J. Saul</w:t>
        </w:r>
      </w:hyperlink>
      <w:r>
        <w:rPr>
          <w:color w:val="000000"/>
        </w:rPr>
        <w:t>, New York, NY, on the brief, for appellee.</w:t>
      </w:r>
    </w:p>
    <w:p w:rsidR="00000000" w:rsidRDefault="002226BA">
      <w:pPr>
        <w:widowControl w:val="0"/>
        <w:autoSpaceDE w:val="0"/>
        <w:autoSpaceDN w:val="0"/>
        <w:adjustRightInd w:val="0"/>
        <w:spacing w:before="200"/>
        <w:jc w:val="both"/>
        <w:rPr>
          <w:color w:val="000000"/>
        </w:rPr>
      </w:pPr>
      <w:r>
        <w:rPr>
          <w:color w:val="000000"/>
        </w:rPr>
        <w:t xml:space="preserve">Before </w:t>
      </w:r>
      <w:hyperlink r:id="rId31" w:history="1">
        <w:r>
          <w:rPr>
            <w:color w:val="000000"/>
          </w:rPr>
          <w:t>RILEY</w:t>
        </w:r>
      </w:hyperlink>
      <w:r>
        <w:rPr>
          <w:color w:val="000000"/>
        </w:rPr>
        <w:t xml:space="preserve">, Chief Judge, </w:t>
      </w:r>
      <w:hyperlink r:id="rId32" w:history="1">
        <w:r>
          <w:rPr>
            <w:color w:val="000000"/>
          </w:rPr>
          <w:t>BYE</w:t>
        </w:r>
      </w:hyperlink>
      <w:r>
        <w:rPr>
          <w:color w:val="000000"/>
        </w:rPr>
        <w:t xml:space="preserve"> and </w:t>
      </w:r>
      <w:hyperlink r:id="rId33" w:history="1">
        <w:r>
          <w:rPr>
            <w:color w:val="000000"/>
          </w:rPr>
          <w:t>MELLOY</w:t>
        </w:r>
      </w:hyperlink>
      <w:r>
        <w:rPr>
          <w:color w:val="000000"/>
        </w:rPr>
        <w:t>, Circuit Judges.</w:t>
      </w:r>
    </w:p>
    <w:p w:rsidR="00000000" w:rsidRDefault="002226BA">
      <w:pPr>
        <w:widowControl w:val="0"/>
        <w:autoSpaceDE w:val="0"/>
        <w:autoSpaceDN w:val="0"/>
        <w:adjustRightInd w:val="0"/>
        <w:spacing w:before="200"/>
        <w:jc w:val="both"/>
        <w:rPr>
          <w:b/>
          <w:bCs/>
          <w:color w:val="212121"/>
        </w:rPr>
      </w:pPr>
      <w:bookmarkStart w:id="11" w:name="co_opinion_1"/>
      <w:bookmarkEnd w:id="11"/>
      <w:r>
        <w:rPr>
          <w:b/>
          <w:bCs/>
          <w:color w:val="212121"/>
        </w:rPr>
        <w:t>Opinion</w:t>
      </w:r>
    </w:p>
    <w:p w:rsidR="00000000" w:rsidRDefault="002226BA">
      <w:pPr>
        <w:widowControl w:val="0"/>
        <w:autoSpaceDE w:val="0"/>
        <w:autoSpaceDN w:val="0"/>
        <w:adjustRightInd w:val="0"/>
        <w:spacing w:before="200" w:after="200"/>
        <w:jc w:val="both"/>
        <w:rPr>
          <w:color w:val="000000"/>
        </w:rPr>
      </w:pPr>
      <w:hyperlink r:id="rId34" w:history="1">
        <w:r>
          <w:rPr>
            <w:color w:val="000000"/>
          </w:rPr>
          <w:t>RILEY</w:t>
        </w:r>
      </w:hyperlink>
      <w:r>
        <w:rPr>
          <w:color w:val="000000"/>
        </w:rPr>
        <w:t>, Chi</w:t>
      </w:r>
      <w:r>
        <w:rPr>
          <w:color w:val="000000"/>
        </w:rPr>
        <w:t>ef Judge.</w:t>
      </w:r>
    </w:p>
    <w:p w:rsidR="00000000" w:rsidRDefault="002226BA">
      <w:pPr>
        <w:widowControl w:val="0"/>
        <w:autoSpaceDE w:val="0"/>
        <w:autoSpaceDN w:val="0"/>
        <w:adjustRightInd w:val="0"/>
        <w:jc w:val="both"/>
        <w:rPr>
          <w:color w:val="000000"/>
        </w:rPr>
      </w:pPr>
      <w:bookmarkStart w:id="12" w:name="co_anchor_I16dd66cd9b6011e38578f7ccc38dc"/>
      <w:bookmarkEnd w:id="12"/>
    </w:p>
    <w:p w:rsidR="00000000" w:rsidRDefault="002226BA">
      <w:pPr>
        <w:widowControl w:val="0"/>
        <w:autoSpaceDE w:val="0"/>
        <w:autoSpaceDN w:val="0"/>
        <w:adjustRightInd w:val="0"/>
        <w:jc w:val="both"/>
        <w:rPr>
          <w:color w:val="000000"/>
        </w:rPr>
      </w:pPr>
      <w:r>
        <w:rPr>
          <w:color w:val="000000"/>
        </w:rPr>
        <w:t xml:space="preserve">In 2005, John Schedin suffered </w:t>
      </w:r>
      <w:hyperlink r:id="rId35" w:history="1">
        <w:r>
          <w:rPr>
            <w:color w:val="000000"/>
          </w:rPr>
          <w:t>Achilles tendon ruptures</w:t>
        </w:r>
      </w:hyperlink>
      <w:r>
        <w:rPr>
          <w:color w:val="000000"/>
        </w:rPr>
        <w:t xml:space="preserve"> while taking the drug Levaquin, which Ortho</w:t>
      </w:r>
      <w:r>
        <w:rPr>
          <w:color w:val="000000"/>
        </w:rPr>
        <w:t>–</w:t>
      </w:r>
      <w:r>
        <w:rPr>
          <w:color w:val="000000"/>
        </w:rPr>
        <w:t>McNeil</w:t>
      </w:r>
      <w:r>
        <w:rPr>
          <w:color w:val="000000"/>
        </w:rPr>
        <w:t>–</w:t>
      </w:r>
      <w:r>
        <w:rPr>
          <w:color w:val="000000"/>
        </w:rPr>
        <w:t>Janssen Pharmaceuticals, Inc. (OMJP) markets in the United States. Schedin sued OMJP</w:t>
      </w:r>
      <w:r>
        <w:rPr>
          <w:color w:val="000000"/>
        </w:rPr>
        <w:t xml:space="preserve"> and others for failing to warn adequately of the risk of tendon rupture in patients who, like Schedin, are elderly and taking concomitant corticosteroids. A jury found OMJP primarily liable, awarding Schedin compensatory and punitive damages. OMJP appeals</w:t>
      </w:r>
      <w:r>
        <w:rPr>
          <w:color w:val="000000"/>
        </w:rPr>
        <w:t xml:space="preserve"> the district court’s denials of its motions for judgment as a matter of law (JMOL) and a new trial. We affirm in part and reverse in part.</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bookmarkStart w:id="13" w:name="co_anchor_I16dd66ce9b6011e38578f7ccc38dc"/>
      <w:bookmarkEnd w:id="13"/>
    </w:p>
    <w:p w:rsidR="00000000" w:rsidRDefault="002226BA">
      <w:pPr>
        <w:widowControl w:val="0"/>
        <w:autoSpaceDE w:val="0"/>
        <w:autoSpaceDN w:val="0"/>
        <w:adjustRightInd w:val="0"/>
        <w:spacing w:before="200"/>
        <w:jc w:val="center"/>
        <w:rPr>
          <w:b/>
          <w:bCs/>
          <w:color w:val="000000"/>
        </w:rPr>
      </w:pPr>
      <w:r>
        <w:rPr>
          <w:b/>
          <w:bCs/>
          <w:color w:val="000000"/>
        </w:rPr>
        <w:t>I. BACKGROUND</w:t>
      </w:r>
    </w:p>
    <w:p w:rsidR="00000000" w:rsidRDefault="002226BA">
      <w:pPr>
        <w:widowControl w:val="0"/>
        <w:autoSpaceDE w:val="0"/>
        <w:autoSpaceDN w:val="0"/>
        <w:adjustRightInd w:val="0"/>
        <w:spacing w:before="200"/>
        <w:jc w:val="center"/>
        <w:rPr>
          <w:b/>
          <w:bCs/>
          <w:color w:val="000000"/>
        </w:rPr>
      </w:pPr>
      <w:r>
        <w:rPr>
          <w:b/>
          <w:bCs/>
          <w:color w:val="000000"/>
        </w:rPr>
        <w:t>A. Factual Backgrou</w:t>
      </w:r>
      <w:r>
        <w:rPr>
          <w:b/>
          <w:bCs/>
          <w:color w:val="000000"/>
        </w:rPr>
        <w:t>nd</w:t>
      </w:r>
    </w:p>
    <w:p w:rsidR="00000000" w:rsidRDefault="002226BA">
      <w:pPr>
        <w:widowControl w:val="0"/>
        <w:autoSpaceDE w:val="0"/>
        <w:autoSpaceDN w:val="0"/>
        <w:adjustRightInd w:val="0"/>
        <w:jc w:val="both"/>
        <w:rPr>
          <w:color w:val="000000"/>
        </w:rPr>
      </w:pPr>
      <w:hyperlink r:id="rId36" w:history="1">
        <w:r>
          <w:rPr>
            <w:color w:val="000000"/>
          </w:rPr>
          <w:t>Levofloxacin</w:t>
        </w:r>
      </w:hyperlink>
      <w:r>
        <w:rPr>
          <w:color w:val="000000"/>
        </w:rPr>
        <w:t xml:space="preserve"> is a fluoro</w:t>
      </w:r>
      <w:r>
        <w:rPr>
          <w:color w:val="000000"/>
        </w:rPr>
        <w:t>quinolone antibiotic OMJP marketed in the United States under the brand name Levaquin.</w:t>
      </w:r>
      <w:bookmarkStart w:id="14" w:name="co_footnoteReference_B00212029301530_ID0"/>
      <w:bookmarkEnd w:id="14"/>
      <w:r>
        <w:rPr>
          <w:color w:val="000000"/>
          <w:sz w:val="16"/>
          <w:szCs w:val="16"/>
        </w:rPr>
        <w:fldChar w:fldCharType="begin"/>
      </w:r>
      <w:r>
        <w:rPr>
          <w:color w:val="000000"/>
          <w:sz w:val="16"/>
          <w:szCs w:val="16"/>
        </w:rPr>
        <w:instrText>HYPERLINK</w:instrText>
      </w:r>
      <w:r>
        <w:rPr>
          <w:color w:val="000000"/>
          <w:sz w:val="16"/>
          <w:szCs w:val="16"/>
        </w:rPr>
        <w:instrText xml:space="preserve"> "#co_footnote_B00212029301530_1" </w:instrText>
      </w:r>
      <w:r>
        <w:rPr>
          <w:color w:val="000000"/>
          <w:sz w:val="16"/>
          <w:szCs w:val="16"/>
        </w:rPr>
      </w:r>
      <w:r>
        <w:rPr>
          <w:color w:val="000000"/>
          <w:sz w:val="16"/>
          <w:szCs w:val="16"/>
        </w:rPr>
        <w:fldChar w:fldCharType="separate"/>
      </w:r>
      <w:r>
        <w:rPr>
          <w:color w:val="000000"/>
          <w:sz w:val="16"/>
          <w:szCs w:val="16"/>
          <w:vertAlign w:val="superscript"/>
        </w:rPr>
        <w:t>1</w:t>
      </w:r>
      <w:r>
        <w:rPr>
          <w:color w:val="000000"/>
          <w:sz w:val="16"/>
          <w:szCs w:val="16"/>
        </w:rPr>
        <w:fldChar w:fldCharType="end"/>
      </w:r>
      <w:r>
        <w:rPr>
          <w:color w:val="000000"/>
        </w:rPr>
        <w:t xml:space="preserve"> In February 2005, Dr. John Beeche</w:t>
      </w:r>
      <w:r>
        <w:rPr>
          <w:color w:val="000000"/>
        </w:rPr>
        <w:t xml:space="preserve">r prescribed both </w:t>
      </w:r>
      <w:hyperlink r:id="rId37" w:history="1">
        <w:r>
          <w:rPr>
            <w:color w:val="000000"/>
          </w:rPr>
          <w:t>Levaquin</w:t>
        </w:r>
      </w:hyperlink>
      <w:r>
        <w:rPr>
          <w:color w:val="000000"/>
        </w:rPr>
        <w:t xml:space="preserve"> </w:t>
      </w:r>
      <w:r>
        <w:rPr>
          <w:color w:val="000000"/>
        </w:rPr>
        <w:t xml:space="preserve">and a corticosteroid to Schedin, who was </w:t>
      </w:r>
      <w:r>
        <w:rPr>
          <w:color w:val="000000"/>
        </w:rPr>
        <w:lastRenderedPageBreak/>
        <w:t>then seventy-six years old. Schedin suffered a rupture of his left Achilles tendon and a partial tear of his right Achilles tendon after taking the drug combination.</w:t>
      </w:r>
    </w:p>
    <w:p w:rsidR="00000000" w:rsidRDefault="002226BA">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15" w:name="co_footnote_B00212029301530_1"/>
          <w:bookmarkEnd w:id="15"/>
          <w:p w:rsidR="00000000" w:rsidRDefault="002226BA">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"#co_footnoteReference_B00212029301530_ID0" </w:instrText>
            </w:r>
            <w:r>
              <w:rPr>
                <w:color w:val="000000"/>
              </w:rPr>
            </w:r>
            <w:r>
              <w:rPr>
                <w:color w:val="000000"/>
              </w:rPr>
              <w:fldChar w:fldCharType="separate"/>
            </w:r>
            <w:r>
              <w:rPr>
                <w:color w:val="000000"/>
                <w:vertAlign w:val="superscript"/>
              </w:rPr>
              <w:t>1</w:t>
            </w:r>
            <w:r>
              <w:rPr>
                <w:color w:val="000000"/>
              </w:rPr>
              <w:fldChar w:fldCharType="end"/>
            </w:r>
          </w:p>
          <w:p w:rsidR="00000000" w:rsidRDefault="002226BA">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26BA">
            <w:pPr>
              <w:widowControl w:val="0"/>
              <w:autoSpaceDE w:val="0"/>
              <w:autoSpaceDN w:val="0"/>
              <w:adjustRightInd w:val="0"/>
              <w:jc w:val="both"/>
              <w:rPr>
                <w:color w:val="000000"/>
                <w:sz w:val="18"/>
                <w:szCs w:val="18"/>
              </w:rPr>
            </w:pPr>
            <w:r>
              <w:rPr>
                <w:color w:val="000000"/>
                <w:sz w:val="18"/>
                <w:szCs w:val="18"/>
              </w:rPr>
              <w:t xml:space="preserve">Levofloxacin is marketed under other names elsewhere. We refer to levofloxacin as </w:t>
            </w:r>
            <w:r>
              <w:rPr>
                <w:color w:val="000000"/>
                <w:sz w:val="18"/>
                <w:szCs w:val="18"/>
              </w:rPr>
              <w:t>“</w:t>
            </w:r>
            <w:r>
              <w:rPr>
                <w:color w:val="000000"/>
                <w:sz w:val="18"/>
                <w:szCs w:val="18"/>
              </w:rPr>
              <w:t>Levaquin</w:t>
            </w:r>
            <w:r>
              <w:rPr>
                <w:color w:val="000000"/>
                <w:sz w:val="18"/>
                <w:szCs w:val="18"/>
              </w:rPr>
              <w:t>”</w:t>
            </w:r>
            <w:r>
              <w:rPr>
                <w:color w:val="000000"/>
                <w:sz w:val="18"/>
                <w:szCs w:val="18"/>
              </w:rPr>
              <w:t xml:space="preserve"> throughout this opinion for consistency.</w:t>
            </w:r>
          </w:p>
          <w:p w:rsidR="00000000" w:rsidRDefault="002226BA">
            <w:pPr>
              <w:widowControl w:val="0"/>
              <w:autoSpaceDE w:val="0"/>
              <w:autoSpaceDN w:val="0"/>
              <w:adjustRightInd w:val="0"/>
              <w:jc w:val="both"/>
              <w:rPr>
                <w:color w:val="000000"/>
                <w:sz w:val="18"/>
                <w:szCs w:val="18"/>
              </w:rPr>
            </w:pPr>
          </w:p>
        </w:tc>
      </w:tr>
    </w:tbl>
    <w:p w:rsidR="00000000" w:rsidRDefault="002226BA">
      <w:pPr>
        <w:widowControl w:val="0"/>
        <w:autoSpaceDE w:val="0"/>
        <w:autoSpaceDN w:val="0"/>
        <w:adjustRightInd w:val="0"/>
        <w:jc w:val="both"/>
        <w:rPr>
          <w:color w:val="000000"/>
        </w:rPr>
      </w:pPr>
    </w:p>
    <w:p w:rsidR="00000000" w:rsidRDefault="002226BA">
      <w:pPr>
        <w:widowControl w:val="0"/>
        <w:autoSpaceDE w:val="0"/>
        <w:autoSpaceDN w:val="0"/>
        <w:adjustRightInd w:val="0"/>
        <w:jc w:val="both"/>
        <w:rPr>
          <w:color w:val="000000"/>
        </w:rPr>
      </w:pPr>
      <w:bookmarkStart w:id="16" w:name="co_pp_sp_506_1164_1"/>
      <w:bookmarkEnd w:id="16"/>
      <w:r>
        <w:rPr>
          <w:b/>
          <w:bCs/>
          <w:color w:val="000000"/>
        </w:rPr>
        <w:t>*1164</w:t>
      </w:r>
      <w:r>
        <w:rPr>
          <w:color w:val="000000"/>
        </w:rPr>
        <w:t xml:space="preserve"> At that time, </w:t>
      </w:r>
      <w:hyperlink r:id="rId38" w:history="1">
        <w:r>
          <w:rPr>
            <w:color w:val="000000"/>
          </w:rPr>
          <w:t>Le</w:t>
        </w:r>
        <w:r>
          <w:rPr>
            <w:color w:val="000000"/>
          </w:rPr>
          <w:t>vaquin’s</w:t>
        </w:r>
      </w:hyperlink>
      <w:r>
        <w:rPr>
          <w:color w:val="000000"/>
        </w:rPr>
        <w:t xml:space="preserve"> package insert warned, in relevant part:</w:t>
      </w:r>
    </w:p>
    <w:p w:rsidR="00000000" w:rsidRDefault="002226BA">
      <w:pPr>
        <w:widowControl w:val="0"/>
        <w:autoSpaceDE w:val="0"/>
        <w:autoSpaceDN w:val="0"/>
        <w:adjustRightInd w:val="0"/>
        <w:spacing w:before="200"/>
        <w:ind w:left="200"/>
        <w:jc w:val="both"/>
        <w:rPr>
          <w:color w:val="000000"/>
        </w:rPr>
      </w:pPr>
      <w:r>
        <w:rPr>
          <w:b/>
          <w:bCs/>
          <w:color w:val="000000"/>
        </w:rPr>
        <w:t>Tendon effects:</w:t>
      </w:r>
      <w:r>
        <w:rPr>
          <w:color w:val="000000"/>
        </w:rPr>
        <w:t xml:space="preserve"> </w:t>
      </w:r>
      <w:hyperlink r:id="rId39" w:history="1">
        <w:r>
          <w:rPr>
            <w:color w:val="000000"/>
          </w:rPr>
          <w:t>Ruptures of the ... Achilles tendon</w:t>
        </w:r>
      </w:hyperlink>
      <w:r>
        <w:rPr>
          <w:color w:val="000000"/>
        </w:rPr>
        <w:t xml:space="preserve"> ... that required surgical repair or resulted in prolonged disability have been reported in patients receiving quinolones, including [</w:t>
      </w:r>
      <w:hyperlink r:id="rId40" w:history="1">
        <w:r>
          <w:rPr>
            <w:color w:val="000000"/>
          </w:rPr>
          <w:t>Levaquin</w:t>
        </w:r>
      </w:hyperlink>
      <w:r>
        <w:rPr>
          <w:color w:val="000000"/>
        </w:rPr>
        <w:t>]. Post-marketing s</w:t>
      </w:r>
      <w:r>
        <w:rPr>
          <w:color w:val="000000"/>
        </w:rPr>
        <w:t>urveillance reports indicate that this risk may be increased in patients receiving concomitant corticosteroids, especially in the elderly.</w:t>
      </w:r>
    </w:p>
    <w:p w:rsidR="00000000" w:rsidRDefault="002226BA">
      <w:pPr>
        <w:widowControl w:val="0"/>
        <w:autoSpaceDE w:val="0"/>
        <w:autoSpaceDN w:val="0"/>
        <w:adjustRightInd w:val="0"/>
        <w:spacing w:before="200"/>
        <w:jc w:val="both"/>
        <w:rPr>
          <w:color w:val="000000"/>
          <w:sz w:val="16"/>
          <w:szCs w:val="16"/>
        </w:rPr>
      </w:pPr>
      <w:r>
        <w:rPr>
          <w:color w:val="000000"/>
        </w:rPr>
        <w:t>The warning had been largely in this form since 2001, when OMJP voluntarily added the second sentence. In 2004, the U</w:t>
      </w:r>
      <w:r>
        <w:rPr>
          <w:color w:val="000000"/>
        </w:rPr>
        <w:t>nited States Food and Drug Administration (FDA) made this language mandatory for all fluoroquinolones.</w:t>
      </w:r>
      <w:bookmarkStart w:id="17" w:name="co_footnoteReference_B00322029301530_ID0"/>
      <w:bookmarkEnd w:id="17"/>
      <w:r>
        <w:rPr>
          <w:color w:val="000000"/>
          <w:sz w:val="16"/>
          <w:szCs w:val="16"/>
        </w:rPr>
        <w:fldChar w:fldCharType="begin"/>
      </w:r>
      <w:r>
        <w:rPr>
          <w:color w:val="000000"/>
          <w:sz w:val="16"/>
          <w:szCs w:val="16"/>
        </w:rPr>
        <w:instrText>HYPERLINK</w:instrText>
      </w:r>
      <w:r>
        <w:rPr>
          <w:color w:val="000000"/>
          <w:sz w:val="16"/>
          <w:szCs w:val="16"/>
        </w:rPr>
        <w:instrText xml:space="preserve"> "#co_footnote_B00322029301530_1" </w:instrText>
      </w:r>
      <w:r>
        <w:rPr>
          <w:color w:val="000000"/>
          <w:sz w:val="16"/>
          <w:szCs w:val="16"/>
        </w:rPr>
      </w:r>
      <w:r>
        <w:rPr>
          <w:color w:val="000000"/>
          <w:sz w:val="16"/>
          <w:szCs w:val="16"/>
        </w:rPr>
        <w:fldChar w:fldCharType="separate"/>
      </w:r>
      <w:r>
        <w:rPr>
          <w:color w:val="000000"/>
          <w:sz w:val="16"/>
          <w:szCs w:val="16"/>
          <w:vertAlign w:val="superscript"/>
        </w:rPr>
        <w:t>2</w:t>
      </w:r>
      <w:r>
        <w:rPr>
          <w:color w:val="000000"/>
          <w:sz w:val="16"/>
          <w:szCs w:val="16"/>
        </w:rPr>
        <w:fldChar w:fldCharType="end"/>
      </w:r>
    </w:p>
    <w:p w:rsidR="00000000" w:rsidRDefault="002226BA">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18" w:name="co_footnote_B00322029301530_1"/>
          <w:bookmarkEnd w:id="18"/>
          <w:p w:rsidR="00000000" w:rsidRDefault="002226BA">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"#co_footnoteReference_B00322029301530_ID0" </w:instrText>
            </w:r>
            <w:r>
              <w:rPr>
                <w:color w:val="000000"/>
              </w:rPr>
            </w:r>
            <w:r>
              <w:rPr>
                <w:color w:val="000000"/>
              </w:rPr>
              <w:fldChar w:fldCharType="separate"/>
            </w:r>
            <w:r>
              <w:rPr>
                <w:color w:val="000000"/>
                <w:vertAlign w:val="superscript"/>
              </w:rPr>
              <w:t>2</w:t>
            </w:r>
            <w:r>
              <w:rPr>
                <w:color w:val="000000"/>
              </w:rPr>
              <w:fldChar w:fldCharType="end"/>
            </w:r>
          </w:p>
          <w:p w:rsidR="00000000" w:rsidRDefault="002226BA">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26BA">
            <w:pPr>
              <w:widowControl w:val="0"/>
              <w:autoSpaceDE w:val="0"/>
              <w:autoSpaceDN w:val="0"/>
              <w:adjustRightInd w:val="0"/>
              <w:jc w:val="both"/>
              <w:rPr>
                <w:color w:val="000000"/>
                <w:sz w:val="18"/>
                <w:szCs w:val="18"/>
              </w:rPr>
            </w:pPr>
            <w:r>
              <w:rPr>
                <w:color w:val="000000"/>
                <w:sz w:val="18"/>
                <w:szCs w:val="18"/>
              </w:rPr>
              <w:t xml:space="preserve">We refer to the 2001 and 2004 warning labels collectively as the </w:t>
            </w:r>
            <w:r>
              <w:rPr>
                <w:color w:val="000000"/>
                <w:sz w:val="18"/>
                <w:szCs w:val="18"/>
              </w:rPr>
              <w:t>“</w:t>
            </w:r>
            <w:r>
              <w:rPr>
                <w:color w:val="000000"/>
                <w:sz w:val="18"/>
                <w:szCs w:val="18"/>
              </w:rPr>
              <w:t>2001 warning</w:t>
            </w:r>
            <w:r>
              <w:rPr>
                <w:color w:val="000000"/>
                <w:sz w:val="18"/>
                <w:szCs w:val="18"/>
              </w:rPr>
              <w:t>”</w:t>
            </w:r>
            <w:r>
              <w:rPr>
                <w:color w:val="000000"/>
                <w:sz w:val="18"/>
                <w:szCs w:val="18"/>
              </w:rPr>
              <w:t xml:space="preserve"> because the FDA’s 2004 requirement did not substantially change </w:t>
            </w:r>
            <w:r>
              <w:rPr>
                <w:color w:val="000000"/>
                <w:sz w:val="18"/>
                <w:szCs w:val="18"/>
              </w:rPr>
              <w:t>the 2001 language about corticosteroids and the elderly.</w:t>
            </w:r>
          </w:p>
          <w:p w:rsidR="00000000" w:rsidRDefault="002226BA">
            <w:pPr>
              <w:widowControl w:val="0"/>
              <w:autoSpaceDE w:val="0"/>
              <w:autoSpaceDN w:val="0"/>
              <w:adjustRightInd w:val="0"/>
              <w:jc w:val="both"/>
              <w:rPr>
                <w:color w:val="000000"/>
                <w:sz w:val="18"/>
                <w:szCs w:val="18"/>
              </w:rPr>
            </w:pPr>
          </w:p>
        </w:tc>
      </w:tr>
    </w:tbl>
    <w:p w:rsidR="00000000" w:rsidRDefault="002226BA">
      <w:pPr>
        <w:widowControl w:val="0"/>
        <w:autoSpaceDE w:val="0"/>
        <w:autoSpaceDN w:val="0"/>
        <w:adjustRightInd w:val="0"/>
        <w:jc w:val="both"/>
        <w:rPr>
          <w:color w:val="000000"/>
        </w:rPr>
      </w:pPr>
    </w:p>
    <w:p w:rsidR="00000000" w:rsidRDefault="002226BA">
      <w:pPr>
        <w:widowControl w:val="0"/>
        <w:autoSpaceDE w:val="0"/>
        <w:autoSpaceDN w:val="0"/>
        <w:adjustRightInd w:val="0"/>
        <w:jc w:val="both"/>
        <w:rPr>
          <w:color w:val="000000"/>
        </w:rPr>
      </w:pPr>
      <w:r>
        <w:rPr>
          <w:color w:val="000000"/>
        </w:rPr>
        <w:t xml:space="preserve">The </w:t>
      </w:r>
      <w:hyperlink r:id="rId41" w:history="1">
        <w:r>
          <w:rPr>
            <w:color w:val="000000"/>
          </w:rPr>
          <w:t>Levaquin</w:t>
        </w:r>
      </w:hyperlink>
      <w:r>
        <w:rPr>
          <w:color w:val="000000"/>
        </w:rPr>
        <w:t xml:space="preserve"> package insert con</w:t>
      </w:r>
      <w:r>
        <w:rPr>
          <w:color w:val="000000"/>
        </w:rPr>
        <w:t xml:space="preserve">sisted of over fifteen pages of small print information about the drug, including its proper use and possible side effects. The tendon warning appears in the last of the ten paragraphs in the </w:t>
      </w:r>
      <w:r>
        <w:rPr>
          <w:color w:val="000000"/>
        </w:rPr>
        <w:t>“</w:t>
      </w:r>
      <w:r>
        <w:rPr>
          <w:color w:val="000000"/>
        </w:rPr>
        <w:t>Warnings</w:t>
      </w:r>
      <w:r>
        <w:rPr>
          <w:color w:val="000000"/>
        </w:rPr>
        <w:t>”</w:t>
      </w:r>
      <w:r>
        <w:rPr>
          <w:color w:val="000000"/>
        </w:rPr>
        <w:t xml:space="preserve"> section. The package insert also contained sections t</w:t>
      </w:r>
      <w:r>
        <w:rPr>
          <w:color w:val="000000"/>
        </w:rPr>
        <w:t xml:space="preserve">itled </w:t>
      </w:r>
      <w:r>
        <w:rPr>
          <w:color w:val="000000"/>
        </w:rPr>
        <w:t>“</w:t>
      </w:r>
      <w:r>
        <w:rPr>
          <w:color w:val="000000"/>
        </w:rPr>
        <w:t>Contraindications,</w:t>
      </w:r>
      <w:r>
        <w:rPr>
          <w:color w:val="000000"/>
        </w:rPr>
        <w:t>”</w:t>
      </w:r>
      <w:r>
        <w:rPr>
          <w:color w:val="000000"/>
        </w:rPr>
        <w:t xml:space="preserve"> </w:t>
      </w:r>
      <w:r>
        <w:rPr>
          <w:color w:val="000000"/>
        </w:rPr>
        <w:t>“</w:t>
      </w:r>
      <w:r>
        <w:rPr>
          <w:color w:val="000000"/>
        </w:rPr>
        <w:t>Precautions,</w:t>
      </w:r>
      <w:r>
        <w:rPr>
          <w:color w:val="000000"/>
        </w:rPr>
        <w:t>”</w:t>
      </w:r>
      <w:r>
        <w:rPr>
          <w:color w:val="000000"/>
        </w:rPr>
        <w:t xml:space="preserve"> and </w:t>
      </w:r>
      <w:r>
        <w:rPr>
          <w:color w:val="000000"/>
        </w:rPr>
        <w:t>“</w:t>
      </w:r>
      <w:r>
        <w:rPr>
          <w:color w:val="000000"/>
        </w:rPr>
        <w:t>Adverse Reactions,</w:t>
      </w:r>
      <w:r>
        <w:rPr>
          <w:color w:val="000000"/>
        </w:rPr>
        <w:t>”</w:t>
      </w:r>
      <w:r>
        <w:rPr>
          <w:color w:val="000000"/>
        </w:rPr>
        <w:t xml:space="preserve"> among others. The tendon warning from </w:t>
      </w:r>
      <w:hyperlink r:id="rId42" w:history="1">
        <w:r>
          <w:rPr>
            <w:color w:val="000000"/>
          </w:rPr>
          <w:t>Levaquin’s</w:t>
        </w:r>
      </w:hyperlink>
      <w:r>
        <w:rPr>
          <w:color w:val="000000"/>
        </w:rPr>
        <w:t xml:space="preserve"> package insert also appeared in the Physicians’ Desk Reference (PDR), a common medical publication that contains label information about numerous drugs.</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The tendon w</w:t>
      </w:r>
      <w:r>
        <w:rPr>
          <w:color w:val="000000"/>
        </w:rPr>
        <w:t xml:space="preserve">arning remained largely unchanged between 2001 and 2008. In 2008, the FDA sent OMJP a letter directing OMJP to set off </w:t>
      </w:r>
      <w:hyperlink r:id="rId43" w:history="1">
        <w:r>
          <w:rPr>
            <w:color w:val="000000"/>
          </w:rPr>
          <w:t>Levaquin’s</w:t>
        </w:r>
      </w:hyperlink>
      <w:r>
        <w:rPr>
          <w:color w:val="000000"/>
        </w:rPr>
        <w:t xml:space="preserve"> tendon warning in a black box because the 2001 warning was inadequate (2008 letter). In the 2008 letter, the FDA expressed concern about the large number</w:t>
      </w:r>
      <w:r>
        <w:rPr>
          <w:color w:val="000000"/>
        </w:rPr>
        <w:t xml:space="preserve"> of adverse event reports about </w:t>
      </w:r>
      <w:hyperlink r:id="rId44" w:history="1">
        <w:r>
          <w:rPr>
            <w:color w:val="000000"/>
          </w:rPr>
          <w:t>tendon</w:t>
        </w:r>
        <w:r>
          <w:rPr>
            <w:color w:val="000000"/>
          </w:rPr>
          <w:t xml:space="preserve"> injuries</w:t>
        </w:r>
      </w:hyperlink>
      <w:r>
        <w:rPr>
          <w:color w:val="000000"/>
        </w:rPr>
        <w:t xml:space="preserve"> it continued to receive, despite the tendon warnings required for fluoroquinolones as a class. The FDA concluded, based upon its new analysis of such reports, </w:t>
      </w:r>
      <w:r>
        <w:rPr>
          <w:color w:val="000000"/>
        </w:rPr>
        <w:t>“</w:t>
      </w:r>
      <w:r>
        <w:rPr>
          <w:color w:val="000000"/>
        </w:rPr>
        <w:t xml:space="preserve">the current </w:t>
      </w:r>
      <w:hyperlink r:id="rId45" w:history="1">
        <w:r>
          <w:rPr>
            <w:color w:val="000000"/>
          </w:rPr>
          <w:t>Levaquin</w:t>
        </w:r>
      </w:hyperlink>
      <w:r>
        <w:rPr>
          <w:color w:val="000000"/>
        </w:rPr>
        <w:t xml:space="preserve"> labeling does not adequately warn healthcare providers and patients.</w:t>
      </w:r>
      <w:r>
        <w:rPr>
          <w:color w:val="000000"/>
        </w:rPr>
        <w:t>”</w:t>
      </w:r>
      <w:r>
        <w:rPr>
          <w:color w:val="000000"/>
        </w:rPr>
        <w:t xml:space="preserve"> OMJP had a</w:t>
      </w:r>
      <w:r>
        <w:rPr>
          <w:color w:val="000000"/>
        </w:rPr>
        <w:t xml:space="preserve">ccess to all adverse event reports relating to </w:t>
      </w:r>
      <w:hyperlink r:id="rId46" w:history="1">
        <w:r>
          <w:rPr>
            <w:color w:val="000000"/>
          </w:rPr>
          <w:t>Levaquin</w:t>
        </w:r>
      </w:hyperlink>
      <w:r>
        <w:rPr>
          <w:color w:val="000000"/>
        </w:rPr>
        <w:t>.</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 xml:space="preserve">In 2002, the United Kingdom Medicines Control Agency (MCA) issued a report linking </w:t>
      </w:r>
      <w:hyperlink r:id="rId47" w:history="1">
        <w:r>
          <w:rPr>
            <w:color w:val="000000"/>
          </w:rPr>
          <w:t>Levaquin</w:t>
        </w:r>
      </w:hyperlink>
      <w:r>
        <w:rPr>
          <w:color w:val="000000"/>
        </w:rPr>
        <w:t xml:space="preserve"> to a greater incidence of </w:t>
      </w:r>
      <w:hyperlink r:id="rId48" w:history="1">
        <w:r>
          <w:rPr>
            <w:color w:val="000000"/>
          </w:rPr>
          <w:t>tendon injuries</w:t>
        </w:r>
      </w:hyperlink>
      <w:r>
        <w:rPr>
          <w:color w:val="000000"/>
        </w:rPr>
        <w:t xml:space="preserve"> than other fluoroquinolones. The MCA recommended reviewing data from the United States to determine whether that data supported this conclusion</w:t>
      </w:r>
      <w:r>
        <w:rPr>
          <w:color w:val="000000"/>
        </w:rPr>
        <w:t xml:space="preserve">. An OMJP affiliate sponsored a study (Ingenix study) in 2002 that concluded </w:t>
      </w:r>
      <w:hyperlink r:id="rId49" w:history="1">
        <w:r>
          <w:rPr>
            <w:color w:val="000000"/>
          </w:rPr>
          <w:t>Levaquin</w:t>
        </w:r>
      </w:hyperlink>
      <w:r>
        <w:rPr>
          <w:color w:val="000000"/>
        </w:rPr>
        <w:t xml:space="preserve"> did not materially increase the risk of tendon rupture more than other fluoroquinolones.</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 xml:space="preserve">In addition to package inserts, drug companies communicate with physicians about their products using the </w:t>
      </w:r>
      <w:r>
        <w:rPr>
          <w:color w:val="000000"/>
        </w:rPr>
        <w:t xml:space="preserve">PDR, in-person visits by sales representatives, </w:t>
      </w:r>
      <w:r>
        <w:rPr>
          <w:color w:val="000000"/>
        </w:rPr>
        <w:t>“</w:t>
      </w:r>
      <w:r>
        <w:rPr>
          <w:color w:val="000000"/>
        </w:rPr>
        <w:t>Dear Doctor</w:t>
      </w:r>
      <w:r>
        <w:rPr>
          <w:color w:val="000000"/>
        </w:rPr>
        <w:t>”</w:t>
      </w:r>
      <w:r>
        <w:rPr>
          <w:color w:val="000000"/>
        </w:rPr>
        <w:t xml:space="preserve"> letters sent to individual physicians, and other methods. One article suggested properly worded and highly publicized </w:t>
      </w:r>
      <w:r>
        <w:rPr>
          <w:color w:val="000000"/>
        </w:rPr>
        <w:t>“</w:t>
      </w:r>
      <w:r>
        <w:rPr>
          <w:color w:val="000000"/>
        </w:rPr>
        <w:t>Dear Doctor</w:t>
      </w:r>
      <w:r>
        <w:rPr>
          <w:color w:val="000000"/>
        </w:rPr>
        <w:t>”</w:t>
      </w:r>
      <w:r>
        <w:rPr>
          <w:color w:val="000000"/>
        </w:rPr>
        <w:t xml:space="preserve"> letters may contribute to reducing undesirable prescribing pra</w:t>
      </w:r>
      <w:r>
        <w:rPr>
          <w:color w:val="000000"/>
        </w:rPr>
        <w:t>ctices.</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Dr. Beecher testified he learns about drug side effects from package inserts, a summary of the PDR, medical literature, sales representatives, and his colleagues. Dr. Beecher testified he prescribes 250 to 300 drugs in his practice and does not h</w:t>
      </w:r>
      <w:r>
        <w:rPr>
          <w:color w:val="000000"/>
        </w:rPr>
        <w:t xml:space="preserve">ave enough time to check all package inserts for changes to the warnings. He reported relying on sales representatives </w:t>
      </w:r>
      <w:r>
        <w:rPr>
          <w:color w:val="000000"/>
        </w:rPr>
        <w:t>“</w:t>
      </w:r>
      <w:r>
        <w:rPr>
          <w:color w:val="000000"/>
        </w:rPr>
        <w:t>only minimally,</w:t>
      </w:r>
      <w:r>
        <w:rPr>
          <w:color w:val="000000"/>
        </w:rPr>
        <w:t>”</w:t>
      </w:r>
      <w:r>
        <w:rPr>
          <w:color w:val="000000"/>
        </w:rPr>
        <w:t xml:space="preserve"> saying he </w:t>
      </w:r>
      <w:r>
        <w:rPr>
          <w:color w:val="000000"/>
        </w:rPr>
        <w:t>“</w:t>
      </w:r>
      <w:r>
        <w:rPr>
          <w:color w:val="000000"/>
        </w:rPr>
        <w:t>probably relie[s] on drug reps more than [he] think[s],</w:t>
      </w:r>
      <w:r>
        <w:rPr>
          <w:color w:val="000000"/>
        </w:rPr>
        <w:t>”</w:t>
      </w:r>
      <w:r>
        <w:rPr>
          <w:color w:val="000000"/>
        </w:rPr>
        <w:t xml:space="preserve"> but tries </w:t>
      </w:r>
      <w:r>
        <w:rPr>
          <w:color w:val="000000"/>
        </w:rPr>
        <w:t>“</w:t>
      </w:r>
      <w:r>
        <w:rPr>
          <w:color w:val="000000"/>
        </w:rPr>
        <w:t>very hard to be objective.</w:t>
      </w:r>
      <w:r>
        <w:rPr>
          <w:color w:val="000000"/>
        </w:rPr>
        <w:t>”</w:t>
      </w:r>
      <w:r>
        <w:rPr>
          <w:color w:val="000000"/>
        </w:rPr>
        <w:t xml:space="preserve"> Dr. Beecher </w:t>
      </w:r>
      <w:r>
        <w:rPr>
          <w:color w:val="000000"/>
        </w:rPr>
        <w:t xml:space="preserve">noted he would have appreciated having more knowledge about the risk of </w:t>
      </w:r>
      <w:bookmarkStart w:id="19" w:name="co_pp_sp_506_1165_1"/>
      <w:bookmarkEnd w:id="19"/>
      <w:r>
        <w:rPr>
          <w:b/>
          <w:bCs/>
          <w:color w:val="000000"/>
        </w:rPr>
        <w:t>*1165</w:t>
      </w:r>
      <w:r>
        <w:rPr>
          <w:color w:val="000000"/>
        </w:rPr>
        <w:t xml:space="preserve"> prescribing </w:t>
      </w:r>
      <w:hyperlink r:id="rId50" w:history="1">
        <w:r>
          <w:rPr>
            <w:color w:val="000000"/>
          </w:rPr>
          <w:t>Levaquin</w:t>
        </w:r>
      </w:hyperlink>
      <w:r>
        <w:rPr>
          <w:color w:val="000000"/>
        </w:rPr>
        <w:t xml:space="preserve"> and a corticosteroid together.</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 xml:space="preserve">Though Dr. Beecher knew of the risk of tendon rupture associated with </w:t>
      </w:r>
      <w:hyperlink r:id="rId51" w:history="1">
        <w:r>
          <w:rPr>
            <w:color w:val="000000"/>
          </w:rPr>
          <w:t>Levaquin</w:t>
        </w:r>
      </w:hyperlink>
      <w:r>
        <w:rPr>
          <w:color w:val="000000"/>
        </w:rPr>
        <w:t>, he did not read and was not aware of the 2001 warning, regar</w:t>
      </w:r>
      <w:r>
        <w:rPr>
          <w:color w:val="000000"/>
        </w:rPr>
        <w:t xml:space="preserve">ding elderly patients taking corticosteroids, when he prescribed </w:t>
      </w:r>
      <w:hyperlink r:id="rId52" w:history="1">
        <w:r>
          <w:rPr>
            <w:color w:val="000000"/>
          </w:rPr>
          <w:t>Levaquin</w:t>
        </w:r>
      </w:hyperlink>
      <w:r>
        <w:rPr>
          <w:color w:val="000000"/>
        </w:rPr>
        <w:t xml:space="preserve"> to Schedin. OMJP did not send a </w:t>
      </w:r>
      <w:r>
        <w:rPr>
          <w:color w:val="000000"/>
        </w:rPr>
        <w:t>“</w:t>
      </w:r>
      <w:r>
        <w:rPr>
          <w:color w:val="000000"/>
        </w:rPr>
        <w:t>Dear Doctor</w:t>
      </w:r>
      <w:r>
        <w:rPr>
          <w:color w:val="000000"/>
        </w:rPr>
        <w:t>”</w:t>
      </w:r>
      <w:r>
        <w:rPr>
          <w:color w:val="000000"/>
        </w:rPr>
        <w:t xml:space="preserve"> letter about the 2001 warning, and there is no evidence OMJP’s sales representatives attempted to communicate that warning personally to Dr. Beecher. Monica Sadar,</w:t>
      </w:r>
      <w:r>
        <w:rPr>
          <w:color w:val="000000"/>
        </w:rPr>
        <w:t xml:space="preserve"> an OMJP sales representative who visited Dr. Beecher several times per year, testified (1) her practice was </w:t>
      </w:r>
      <w:r>
        <w:rPr>
          <w:color w:val="000000"/>
        </w:rPr>
        <w:t>“</w:t>
      </w:r>
      <w:r>
        <w:rPr>
          <w:color w:val="000000"/>
        </w:rPr>
        <w:t>to discuss package insert changes with all practitioners,</w:t>
      </w:r>
      <w:r>
        <w:rPr>
          <w:color w:val="000000"/>
        </w:rPr>
        <w:t>”</w:t>
      </w:r>
      <w:r>
        <w:rPr>
          <w:color w:val="000000"/>
        </w:rPr>
        <w:t xml:space="preserve"> but she did not specifically remember discussing the 2001 warning with Dr. Beecher; (2)</w:t>
      </w:r>
      <w:r>
        <w:rPr>
          <w:color w:val="000000"/>
        </w:rPr>
        <w:t xml:space="preserve"> her notes from meetings with Dr. Beecher do not indicate such a discussion; and (3) the </w:t>
      </w:r>
      <w:hyperlink r:id="rId53" w:history="1">
        <w:r>
          <w:rPr>
            <w:color w:val="000000"/>
          </w:rPr>
          <w:t>Levaquin</w:t>
        </w:r>
      </w:hyperlink>
      <w:r>
        <w:rPr>
          <w:color w:val="000000"/>
        </w:rPr>
        <w:t xml:space="preserve"> sales aids she used did not mention the risk of tendon rupture.</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 xml:space="preserve">Dr. Beecher testified he would not have prescribed </w:t>
      </w:r>
      <w:hyperlink r:id="rId54" w:history="1">
        <w:r>
          <w:rPr>
            <w:color w:val="000000"/>
          </w:rPr>
          <w:t>Levaquin</w:t>
        </w:r>
      </w:hyperlink>
      <w:r>
        <w:rPr>
          <w:color w:val="000000"/>
        </w:rPr>
        <w:t xml:space="preserve"> to Schedin if he had known about the 2001 warning or what he knows now. Dr. Beecher al</w:t>
      </w:r>
      <w:r>
        <w:rPr>
          <w:color w:val="000000"/>
        </w:rPr>
        <w:t xml:space="preserve">so stated he no longer prescribes </w:t>
      </w:r>
      <w:hyperlink r:id="rId55" w:history="1">
        <w:r>
          <w:rPr>
            <w:color w:val="000000"/>
          </w:rPr>
          <w:t>Levaq</w:t>
        </w:r>
        <w:r>
          <w:rPr>
            <w:color w:val="000000"/>
          </w:rPr>
          <w:t>uin</w:t>
        </w:r>
      </w:hyperlink>
      <w:r>
        <w:rPr>
          <w:color w:val="000000"/>
        </w:rPr>
        <w:t xml:space="preserve"> unless a patient specifically requests it.</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bookmarkStart w:id="20" w:name="co_anchor_I16dd66cf9b6011e38578f7ccc38dc"/>
      <w:bookmarkEnd w:id="20"/>
    </w:p>
    <w:p w:rsidR="00000000" w:rsidRDefault="002226BA">
      <w:pPr>
        <w:widowControl w:val="0"/>
        <w:autoSpaceDE w:val="0"/>
        <w:autoSpaceDN w:val="0"/>
        <w:adjustRightInd w:val="0"/>
        <w:spacing w:before="200"/>
        <w:jc w:val="center"/>
        <w:rPr>
          <w:b/>
          <w:bCs/>
          <w:color w:val="000000"/>
        </w:rPr>
      </w:pPr>
      <w:r>
        <w:rPr>
          <w:b/>
          <w:bCs/>
          <w:color w:val="000000"/>
        </w:rPr>
        <w:t>B. Procedural History</w:t>
      </w:r>
    </w:p>
    <w:p w:rsidR="00000000" w:rsidRDefault="002226BA">
      <w:pPr>
        <w:widowControl w:val="0"/>
        <w:autoSpaceDE w:val="0"/>
        <w:autoSpaceDN w:val="0"/>
        <w:adjustRightInd w:val="0"/>
        <w:jc w:val="both"/>
        <w:rPr>
          <w:color w:val="000000"/>
        </w:rPr>
      </w:pPr>
      <w:r>
        <w:rPr>
          <w:color w:val="000000"/>
        </w:rPr>
        <w:t>Schedin sued OMJP in federal district court, properly invoking the court’s diversity jurisdi</w:t>
      </w:r>
      <w:r>
        <w:rPr>
          <w:color w:val="000000"/>
        </w:rPr>
        <w:t xml:space="preserve">ction. </w:t>
      </w:r>
      <w:r>
        <w:rPr>
          <w:i/>
          <w:iCs/>
          <w:color w:val="000000"/>
        </w:rPr>
        <w:t>See</w:t>
      </w:r>
      <w:r>
        <w:rPr>
          <w:color w:val="000000"/>
        </w:rPr>
        <w:t xml:space="preserve"> </w:t>
      </w:r>
      <w:hyperlink r:id="rId56" w:history="1">
        <w:r>
          <w:rPr>
            <w:color w:val="000000"/>
          </w:rPr>
          <w:t>28 U.S.C. § 1332</w:t>
        </w:r>
      </w:hyperlink>
      <w:r>
        <w:rPr>
          <w:color w:val="000000"/>
        </w:rPr>
        <w:t xml:space="preserve">. Schedin alleged he was injured by OMJP’s failure to warn Schedin and Dr. Beecher sufficiently about the risk of tendon rupture in elderly patients taking </w:t>
      </w:r>
      <w:hyperlink r:id="rId57" w:history="1">
        <w:r>
          <w:rPr>
            <w:color w:val="000000"/>
          </w:rPr>
          <w:t>Levaquin</w:t>
        </w:r>
      </w:hyperlink>
      <w:r>
        <w:rPr>
          <w:color w:val="000000"/>
        </w:rPr>
        <w:t xml:space="preserve"> and concomitant corticosteroids.</w:t>
      </w:r>
      <w:bookmarkStart w:id="21" w:name="co_footnoteReference_B00432029301530_ID0"/>
      <w:bookmarkEnd w:id="21"/>
      <w:r>
        <w:rPr>
          <w:color w:val="000000"/>
          <w:sz w:val="16"/>
          <w:szCs w:val="16"/>
        </w:rPr>
        <w:fldChar w:fldCharType="begin"/>
      </w:r>
      <w:r>
        <w:rPr>
          <w:color w:val="000000"/>
          <w:sz w:val="16"/>
          <w:szCs w:val="16"/>
        </w:rPr>
        <w:instrText>HYPERLINK</w:instrText>
      </w:r>
      <w:r>
        <w:rPr>
          <w:color w:val="000000"/>
          <w:sz w:val="16"/>
          <w:szCs w:val="16"/>
        </w:rPr>
        <w:instrText xml:space="preserve"> "#co_footnote_B00432029301530_1" </w:instrText>
      </w:r>
      <w:r>
        <w:rPr>
          <w:color w:val="000000"/>
          <w:sz w:val="16"/>
          <w:szCs w:val="16"/>
        </w:rPr>
      </w:r>
      <w:r>
        <w:rPr>
          <w:color w:val="000000"/>
          <w:sz w:val="16"/>
          <w:szCs w:val="16"/>
        </w:rPr>
        <w:fldChar w:fldCharType="separate"/>
      </w:r>
      <w:r>
        <w:rPr>
          <w:color w:val="000000"/>
          <w:sz w:val="16"/>
          <w:szCs w:val="16"/>
          <w:vertAlign w:val="superscript"/>
        </w:rPr>
        <w:t>3</w:t>
      </w:r>
      <w:r>
        <w:rPr>
          <w:color w:val="000000"/>
          <w:sz w:val="16"/>
          <w:szCs w:val="16"/>
        </w:rPr>
        <w:fldChar w:fldCharType="end"/>
      </w:r>
      <w:r>
        <w:rPr>
          <w:color w:val="000000"/>
        </w:rPr>
        <w:t xml:space="preserve"> Schedin claimed OMJP negligently failed to (1) take adequate steps to alert doctors to the information in the 2001 warning, and (2) warn of </w:t>
      </w:r>
      <w:hyperlink r:id="rId58" w:history="1">
        <w:r>
          <w:rPr>
            <w:color w:val="000000"/>
          </w:rPr>
          <w:t>Levaquin’s</w:t>
        </w:r>
      </w:hyperlink>
      <w:r>
        <w:rPr>
          <w:color w:val="000000"/>
        </w:rPr>
        <w:t xml:space="preserve"> tendon toxicity relative to other fluor</w:t>
      </w:r>
      <w:r>
        <w:rPr>
          <w:color w:val="000000"/>
        </w:rPr>
        <w:t>oquinolones.</w:t>
      </w:r>
    </w:p>
    <w:p w:rsidR="00000000" w:rsidRDefault="002226BA">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2" w:name="co_footnote_B00432029301530_1"/>
          <w:bookmarkEnd w:id="22"/>
          <w:p w:rsidR="00000000" w:rsidRDefault="002226BA">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"#co_footnoteReference_B00432029301530_ID0" </w:instrText>
            </w:r>
            <w:r>
              <w:rPr>
                <w:color w:val="000000"/>
              </w:rPr>
            </w:r>
            <w:r>
              <w:rPr>
                <w:color w:val="000000"/>
              </w:rPr>
              <w:fldChar w:fldCharType="separate"/>
            </w:r>
            <w:r>
              <w:rPr>
                <w:color w:val="000000"/>
                <w:vertAlign w:val="superscript"/>
              </w:rPr>
              <w:t>3</w:t>
            </w:r>
            <w:r>
              <w:rPr>
                <w:color w:val="000000"/>
              </w:rPr>
              <w:fldChar w:fldCharType="end"/>
            </w:r>
          </w:p>
          <w:p w:rsidR="00000000" w:rsidRDefault="002226BA">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26BA">
            <w:pPr>
              <w:widowControl w:val="0"/>
              <w:autoSpaceDE w:val="0"/>
              <w:autoSpaceDN w:val="0"/>
              <w:adjustRightInd w:val="0"/>
              <w:jc w:val="both"/>
              <w:rPr>
                <w:color w:val="000000"/>
                <w:sz w:val="18"/>
                <w:szCs w:val="18"/>
              </w:rPr>
            </w:pPr>
            <w:r>
              <w:rPr>
                <w:color w:val="000000"/>
                <w:sz w:val="18"/>
                <w:szCs w:val="18"/>
              </w:rPr>
              <w:t>Schedin asserted other claims against OMJP, OMJP’s parent company, Johnson &amp; Johnson, and another affiliate that a</w:t>
            </w:r>
            <w:r>
              <w:rPr>
                <w:color w:val="000000"/>
                <w:sz w:val="18"/>
                <w:szCs w:val="18"/>
              </w:rPr>
              <w:t>re not at issue in this appeal.</w:t>
            </w:r>
          </w:p>
          <w:p w:rsidR="00000000" w:rsidRDefault="002226BA">
            <w:pPr>
              <w:widowControl w:val="0"/>
              <w:autoSpaceDE w:val="0"/>
              <w:autoSpaceDN w:val="0"/>
              <w:adjustRightInd w:val="0"/>
              <w:jc w:val="both"/>
              <w:rPr>
                <w:color w:val="000000"/>
                <w:sz w:val="18"/>
                <w:szCs w:val="18"/>
              </w:rPr>
            </w:pPr>
          </w:p>
        </w:tc>
      </w:tr>
    </w:tbl>
    <w:p w:rsidR="00000000" w:rsidRDefault="002226BA">
      <w:pPr>
        <w:widowControl w:val="0"/>
        <w:autoSpaceDE w:val="0"/>
        <w:autoSpaceDN w:val="0"/>
        <w:adjustRightInd w:val="0"/>
        <w:jc w:val="both"/>
        <w:rPr>
          <w:color w:val="000000"/>
        </w:rPr>
      </w:pPr>
    </w:p>
    <w:p w:rsidR="00000000" w:rsidRDefault="002226BA">
      <w:pPr>
        <w:widowControl w:val="0"/>
        <w:autoSpaceDE w:val="0"/>
        <w:autoSpaceDN w:val="0"/>
        <w:adjustRightInd w:val="0"/>
        <w:jc w:val="both"/>
        <w:rPr>
          <w:color w:val="000000"/>
        </w:rPr>
      </w:pPr>
      <w:r>
        <w:rPr>
          <w:color w:val="000000"/>
        </w:rPr>
        <w:t>After a jury found OMJP primarily liable, awarding Schedin compensatory damages of $630,000 (after reducing the overall assessment of damages by 15% due to Dr. Beecher’</w:t>
      </w:r>
      <w:r>
        <w:rPr>
          <w:color w:val="000000"/>
        </w:rPr>
        <w:t xml:space="preserve">s contributing fault) and punitive damages of $1,115,000, OMJP moved for JMOL and a new trial. OMJP appeals from the district court’s denial of OMJP’s motions. We have jurisdiction under </w:t>
      </w:r>
      <w:hyperlink r:id="rId59" w:history="1">
        <w:r>
          <w:rPr>
            <w:color w:val="000000"/>
          </w:rPr>
          <w:t>28 U.S.C. § 1291</w:t>
        </w:r>
      </w:hyperlink>
      <w:r>
        <w:rPr>
          <w:color w:val="000000"/>
        </w:rPr>
        <w:t>.</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bookmarkStart w:id="23" w:name="co_anchor_I16dd66d09b6011e38578f7ccc38dc"/>
      <w:bookmarkEnd w:id="23"/>
    </w:p>
    <w:p w:rsidR="00000000" w:rsidRDefault="002226BA">
      <w:pPr>
        <w:widowControl w:val="0"/>
        <w:autoSpaceDE w:val="0"/>
        <w:autoSpaceDN w:val="0"/>
        <w:adjustRightInd w:val="0"/>
        <w:spacing w:before="200"/>
        <w:jc w:val="center"/>
        <w:rPr>
          <w:b/>
          <w:bCs/>
          <w:color w:val="000000"/>
        </w:rPr>
      </w:pPr>
      <w:r>
        <w:rPr>
          <w:b/>
          <w:bCs/>
          <w:color w:val="000000"/>
        </w:rPr>
        <w:t>II. DISCUSSION</w:t>
      </w:r>
    </w:p>
    <w:p w:rsidR="00000000" w:rsidRDefault="002226BA">
      <w:pPr>
        <w:widowControl w:val="0"/>
        <w:autoSpaceDE w:val="0"/>
        <w:autoSpaceDN w:val="0"/>
        <w:adjustRightInd w:val="0"/>
        <w:spacing w:before="200"/>
        <w:jc w:val="center"/>
        <w:rPr>
          <w:b/>
          <w:bCs/>
          <w:color w:val="000000"/>
        </w:rPr>
      </w:pPr>
      <w:r>
        <w:rPr>
          <w:b/>
          <w:bCs/>
          <w:color w:val="000000"/>
        </w:rPr>
        <w:t>A. Applicable Law and Standard of Review</w:t>
      </w:r>
    </w:p>
    <w:p w:rsidR="00000000" w:rsidRDefault="002226BA">
      <w:pPr>
        <w:widowControl w:val="0"/>
        <w:autoSpaceDE w:val="0"/>
        <w:autoSpaceDN w:val="0"/>
        <w:adjustRightInd w:val="0"/>
        <w:jc w:val="both"/>
        <w:rPr>
          <w:color w:val="000000"/>
        </w:rPr>
      </w:pPr>
      <w:hyperlink r:id="rId60" w:history="1">
        <w:r>
          <w:rPr>
            <w:b/>
            <w:bCs/>
            <w:color w:val="000000"/>
            <w:vertAlign w:val="superscript"/>
          </w:rPr>
          <w:t>[1]</w:t>
        </w:r>
      </w:hyperlink>
      <w:bookmarkStart w:id="24" w:name="co_anchor_B12029301530_1"/>
      <w:bookmarkEnd w:id="24"/>
      <w:r>
        <w:rPr>
          <w:color w:val="000000"/>
        </w:rPr>
        <w:t xml:space="preserve"> We apply Minnesota law to Schedin’</w:t>
      </w:r>
      <w:r>
        <w:rPr>
          <w:color w:val="000000"/>
        </w:rPr>
        <w:t>s failure-to-warn claim.</w:t>
      </w:r>
      <w:bookmarkStart w:id="25" w:name="co_footnoteReference_B00542029301530_ID0"/>
      <w:bookmarkEnd w:id="25"/>
      <w:r>
        <w:rPr>
          <w:color w:val="000000"/>
          <w:sz w:val="16"/>
          <w:szCs w:val="16"/>
        </w:rPr>
        <w:fldChar w:fldCharType="begin"/>
      </w:r>
      <w:r>
        <w:rPr>
          <w:color w:val="000000"/>
          <w:sz w:val="16"/>
          <w:szCs w:val="16"/>
        </w:rPr>
        <w:instrText>HYPERLINK</w:instrText>
      </w:r>
      <w:r>
        <w:rPr>
          <w:color w:val="000000"/>
          <w:sz w:val="16"/>
          <w:szCs w:val="16"/>
        </w:rPr>
        <w:instrText xml:space="preserve"> "#co_footnote_B00542029301530_1" </w:instrText>
      </w:r>
      <w:r>
        <w:rPr>
          <w:color w:val="000000"/>
          <w:sz w:val="16"/>
          <w:szCs w:val="16"/>
        </w:rPr>
      </w:r>
      <w:r>
        <w:rPr>
          <w:color w:val="000000"/>
          <w:sz w:val="16"/>
          <w:szCs w:val="16"/>
        </w:rPr>
        <w:fldChar w:fldCharType="separate"/>
      </w:r>
      <w:r>
        <w:rPr>
          <w:color w:val="000000"/>
          <w:sz w:val="16"/>
          <w:szCs w:val="16"/>
          <w:vertAlign w:val="superscript"/>
        </w:rPr>
        <w:t>4</w:t>
      </w:r>
      <w:r>
        <w:rPr>
          <w:color w:val="000000"/>
          <w:sz w:val="16"/>
          <w:szCs w:val="16"/>
        </w:rPr>
        <w:fldChar w:fldCharType="end"/>
      </w:r>
      <w:r>
        <w:rPr>
          <w:color w:val="000000"/>
        </w:rPr>
        <w:t xml:space="preserve"> </w:t>
      </w:r>
      <w:r>
        <w:rPr>
          <w:i/>
          <w:iCs/>
          <w:color w:val="000000"/>
        </w:rPr>
        <w:t xml:space="preserve">See </w:t>
      </w:r>
      <w:hyperlink r:id="rId61" w:history="1">
        <w:r>
          <w:rPr>
            <w:i/>
            <w:iCs/>
            <w:color w:val="000000"/>
          </w:rPr>
          <w:t>Winthrop Res. Corp. v. Stanley Works,</w:t>
        </w:r>
        <w:r>
          <w:rPr>
            <w:color w:val="000000"/>
          </w:rPr>
          <w:t xml:space="preserve"> 259 F.3d 901, 90</w:t>
        </w:r>
        <w:r>
          <w:rPr>
            <w:color w:val="000000"/>
          </w:rPr>
          <w:t>4 (8th Cir.2001)</w:t>
        </w:r>
      </w:hyperlink>
      <w:r>
        <w:rPr>
          <w:color w:val="000000"/>
        </w:rPr>
        <w:t xml:space="preserve"> (</w:t>
      </w:r>
      <w:r>
        <w:rPr>
          <w:color w:val="000000"/>
        </w:rPr>
        <w:t>“</w:t>
      </w:r>
      <w:r>
        <w:rPr>
          <w:color w:val="000000"/>
        </w:rPr>
        <w:t>As a federal court sitting in diversity jurisdiction, we apply the law that the forum state would apply.</w:t>
      </w:r>
      <w:r>
        <w:rPr>
          <w:color w:val="000000"/>
        </w:rPr>
        <w:t>”</w:t>
      </w:r>
      <w:r>
        <w:rPr>
          <w:color w:val="000000"/>
        </w:rPr>
        <w:t xml:space="preserve">). In addition, </w:t>
      </w:r>
      <w:r>
        <w:rPr>
          <w:color w:val="000000"/>
        </w:rPr>
        <w:t>“</w:t>
      </w:r>
      <w:r>
        <w:rPr>
          <w:color w:val="000000"/>
        </w:rPr>
        <w:t>[w]hen federal jurisdiction is premised on diversity of citizenship, a federal district court applies t</w:t>
      </w:r>
      <w:r>
        <w:rPr>
          <w:color w:val="000000"/>
        </w:rPr>
        <w:t>he sufficiency standards of the state in which it sits,</w:t>
      </w:r>
      <w:r>
        <w:rPr>
          <w:color w:val="000000"/>
        </w:rPr>
        <w:t>”</w:t>
      </w:r>
      <w:r>
        <w:rPr>
          <w:color w:val="000000"/>
        </w:rPr>
        <w:t xml:space="preserve"> in this case Minnesota. </w:t>
      </w:r>
      <w:hyperlink r:id="rId62" w:history="1">
        <w:r>
          <w:rPr>
            <w:i/>
            <w:iCs/>
            <w:color w:val="000000"/>
          </w:rPr>
          <w:t>Carpenter v. Auto. Club Interinsurance Exch.,</w:t>
        </w:r>
        <w:r>
          <w:rPr>
            <w:color w:val="000000"/>
          </w:rPr>
          <w:t xml:space="preserve"> 58 F.3d 1296, 1301 (8th Cir.1995)</w:t>
        </w:r>
      </w:hyperlink>
      <w:r>
        <w:rPr>
          <w:color w:val="000000"/>
        </w:rPr>
        <w:t>.</w:t>
      </w:r>
    </w:p>
    <w:p w:rsidR="00000000" w:rsidRDefault="002226BA">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6" w:name="co_footnote_B00542029301530_1"/>
          <w:bookmarkEnd w:id="26"/>
          <w:p w:rsidR="00000000" w:rsidRDefault="002226BA">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"#co_footnoteReference_B00542029301530_ID0" </w:instrText>
            </w:r>
            <w:r>
              <w:rPr>
                <w:color w:val="000000"/>
              </w:rPr>
            </w:r>
            <w:r>
              <w:rPr>
                <w:color w:val="000000"/>
              </w:rPr>
              <w:fldChar w:fldCharType="separate"/>
            </w:r>
            <w:r>
              <w:rPr>
                <w:color w:val="000000"/>
                <w:vertAlign w:val="superscript"/>
              </w:rPr>
              <w:t>4</w:t>
            </w:r>
            <w:r>
              <w:rPr>
                <w:color w:val="000000"/>
              </w:rPr>
              <w:fldChar w:fldCharType="end"/>
            </w:r>
          </w:p>
          <w:p w:rsidR="00000000" w:rsidRDefault="002226BA">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26BA">
            <w:pPr>
              <w:widowControl w:val="0"/>
              <w:autoSpaceDE w:val="0"/>
              <w:autoSpaceDN w:val="0"/>
              <w:adjustRightInd w:val="0"/>
              <w:jc w:val="both"/>
              <w:rPr>
                <w:color w:val="000000"/>
                <w:sz w:val="18"/>
                <w:szCs w:val="18"/>
              </w:rPr>
            </w:pPr>
            <w:r>
              <w:rPr>
                <w:color w:val="000000"/>
                <w:sz w:val="18"/>
                <w:szCs w:val="18"/>
              </w:rPr>
              <w:t>Neither party disputes the district court’s application of Minnesota law.</w:t>
            </w:r>
          </w:p>
          <w:p w:rsidR="00000000" w:rsidRDefault="002226BA">
            <w:pPr>
              <w:widowControl w:val="0"/>
              <w:autoSpaceDE w:val="0"/>
              <w:autoSpaceDN w:val="0"/>
              <w:adjustRightInd w:val="0"/>
              <w:jc w:val="both"/>
              <w:rPr>
                <w:color w:val="000000"/>
                <w:sz w:val="18"/>
                <w:szCs w:val="18"/>
              </w:rPr>
            </w:pPr>
          </w:p>
        </w:tc>
      </w:tr>
    </w:tbl>
    <w:p w:rsidR="00000000" w:rsidRDefault="002226BA">
      <w:pPr>
        <w:widowControl w:val="0"/>
        <w:autoSpaceDE w:val="0"/>
        <w:autoSpaceDN w:val="0"/>
        <w:adjustRightInd w:val="0"/>
        <w:jc w:val="both"/>
        <w:rPr>
          <w:color w:val="000000"/>
        </w:rPr>
      </w:pPr>
    </w:p>
    <w:p w:rsidR="00000000" w:rsidRDefault="002226BA">
      <w:pPr>
        <w:widowControl w:val="0"/>
        <w:autoSpaceDE w:val="0"/>
        <w:autoSpaceDN w:val="0"/>
        <w:adjustRightInd w:val="0"/>
        <w:jc w:val="both"/>
        <w:rPr>
          <w:color w:val="000000"/>
        </w:rPr>
      </w:pPr>
      <w:r>
        <w:rPr>
          <w:color w:val="000000"/>
        </w:rPr>
        <w:t xml:space="preserve">A district court must grant JMOL if </w:t>
      </w:r>
      <w:r>
        <w:rPr>
          <w:color w:val="000000"/>
        </w:rPr>
        <w:t>“</w:t>
      </w:r>
      <w:r>
        <w:rPr>
          <w:color w:val="000000"/>
        </w:rPr>
        <w:t>there is no legally sufficient evidentiary basis for a r</w:t>
      </w:r>
      <w:r>
        <w:rPr>
          <w:color w:val="000000"/>
        </w:rPr>
        <w:t>easonable jury to find for [the non-moving] party.</w:t>
      </w:r>
      <w:r>
        <w:rPr>
          <w:color w:val="000000"/>
        </w:rPr>
        <w:t>”</w:t>
      </w:r>
      <w:r>
        <w:rPr>
          <w:color w:val="000000"/>
        </w:rPr>
        <w:t xml:space="preserve"> </w:t>
      </w:r>
      <w:hyperlink r:id="rId63" w:history="1">
        <w:r>
          <w:rPr>
            <w:color w:val="000000"/>
          </w:rPr>
          <w:t>Minn. R. Civ. P. 50.01(a)</w:t>
        </w:r>
      </w:hyperlink>
      <w:r>
        <w:rPr>
          <w:color w:val="000000"/>
        </w:rPr>
        <w:t xml:space="preserve">; </w:t>
      </w:r>
      <w:r>
        <w:rPr>
          <w:i/>
          <w:iCs/>
          <w:color w:val="000000"/>
        </w:rPr>
        <w:t>see</w:t>
      </w:r>
      <w:r>
        <w:rPr>
          <w:color w:val="000000"/>
        </w:rPr>
        <w:t xml:space="preserve"> </w:t>
      </w:r>
      <w:hyperlink r:id="rId64" w:history="1">
        <w:r>
          <w:rPr>
            <w:color w:val="000000"/>
          </w:rPr>
          <w:t>Minn. R. Civ. P. 50.02</w:t>
        </w:r>
      </w:hyperlink>
      <w:r>
        <w:rPr>
          <w:color w:val="000000"/>
        </w:rPr>
        <w:t xml:space="preserve"> (concerning renewed motions for judgment as a matter of law). We review de novo the district court’s denial of JMOL.</w:t>
      </w:r>
      <w:r>
        <w:rPr>
          <w:color w:val="000000"/>
        </w:rPr>
        <w:t xml:space="preserve"> </w:t>
      </w:r>
      <w:r>
        <w:rPr>
          <w:i/>
          <w:iCs/>
          <w:color w:val="000000"/>
        </w:rPr>
        <w:t xml:space="preserve">See </w:t>
      </w:r>
      <w:hyperlink r:id="rId65" w:history="1">
        <w:r>
          <w:rPr>
            <w:i/>
            <w:iCs/>
            <w:color w:val="000000"/>
          </w:rPr>
          <w:t>Weber v. Strippit, Inc.,</w:t>
        </w:r>
        <w:r>
          <w:rPr>
            <w:color w:val="000000"/>
          </w:rPr>
          <w:t xml:space="preserve"> 186 F.3d 907, 912 (8th Cir.1999)</w:t>
        </w:r>
      </w:hyperlink>
      <w:r>
        <w:rPr>
          <w:color w:val="000000"/>
        </w:rPr>
        <w:t>.</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bookmarkStart w:id="27" w:name="co_pp_sp_506_1166_1"/>
      <w:bookmarkEnd w:id="27"/>
      <w:r>
        <w:rPr>
          <w:b/>
          <w:bCs/>
          <w:color w:val="000000"/>
        </w:rPr>
        <w:t>*1166</w:t>
      </w:r>
      <w:r>
        <w:rPr>
          <w:color w:val="000000"/>
        </w:rPr>
        <w:t xml:space="preserve"> </w:t>
      </w:r>
      <w:hyperlink r:id="rId66" w:history="1">
        <w:r>
          <w:rPr>
            <w:b/>
            <w:bCs/>
            <w:color w:val="000000"/>
            <w:vertAlign w:val="superscript"/>
          </w:rPr>
          <w:t>[2]</w:t>
        </w:r>
      </w:hyperlink>
      <w:bookmarkStart w:id="28" w:name="co_anchor_B22029301530_1"/>
      <w:bookmarkEnd w:id="28"/>
      <w:r>
        <w:rPr>
          <w:color w:val="000000"/>
        </w:rPr>
        <w:t xml:space="preserve"> The standard for granting a new trial is </w:t>
      </w:r>
      <w:r>
        <w:rPr>
          <w:color w:val="000000"/>
        </w:rPr>
        <w:t>“</w:t>
      </w:r>
      <w:r>
        <w:rPr>
          <w:color w:val="000000"/>
        </w:rPr>
        <w:t>less rigorous than the standard for granting</w:t>
      </w:r>
      <w:r>
        <w:rPr>
          <w:color w:val="000000"/>
        </w:rPr>
        <w:t>”</w:t>
      </w:r>
      <w:r>
        <w:rPr>
          <w:color w:val="000000"/>
        </w:rPr>
        <w:t xml:space="preserve"> JMOL. </w:t>
      </w:r>
      <w:hyperlink r:id="rId67" w:history="1">
        <w:r>
          <w:rPr>
            <w:i/>
            <w:iCs/>
            <w:color w:val="000000"/>
          </w:rPr>
          <w:t>Clifford v. Geritom Med, Inc.,</w:t>
        </w:r>
        <w:r>
          <w:rPr>
            <w:color w:val="000000"/>
          </w:rPr>
          <w:t xml:space="preserve"> 681 N.W.2d 680, 687 (Minn.2004)</w:t>
        </w:r>
      </w:hyperlink>
      <w:r>
        <w:rPr>
          <w:color w:val="000000"/>
        </w:rPr>
        <w:t xml:space="preserve">. A new trial is merited when </w:t>
      </w:r>
      <w:r>
        <w:rPr>
          <w:color w:val="000000"/>
        </w:rPr>
        <w:t>“</w:t>
      </w:r>
      <w:r>
        <w:rPr>
          <w:color w:val="000000"/>
        </w:rPr>
        <w:t xml:space="preserve">the verdict is </w:t>
      </w:r>
      <w:r>
        <w:rPr>
          <w:color w:val="000000"/>
        </w:rPr>
        <w:t>so contrary to the preponderance of the evidence as to imply that the jury failed to consider all the evidence, or acted under some mistake.</w:t>
      </w:r>
      <w:r>
        <w:rPr>
          <w:color w:val="000000"/>
        </w:rPr>
        <w:t>”</w:t>
      </w:r>
      <w:r>
        <w:rPr>
          <w:color w:val="000000"/>
        </w:rPr>
        <w:t xml:space="preserve"> </w:t>
      </w:r>
      <w:hyperlink r:id="rId68" w:history="1">
        <w:r>
          <w:rPr>
            <w:i/>
            <w:iCs/>
            <w:color w:val="000000"/>
          </w:rPr>
          <w:t>Id.</w:t>
        </w:r>
      </w:hyperlink>
      <w:r>
        <w:rPr>
          <w:color w:val="000000"/>
        </w:rPr>
        <w:t xml:space="preserve"> (quoting </w:t>
      </w:r>
      <w:hyperlink r:id="rId69" w:history="1">
        <w:r>
          <w:rPr>
            <w:i/>
            <w:iCs/>
            <w:color w:val="000000"/>
          </w:rPr>
          <w:t>LaValle v. Aqualand Pool Co.,</w:t>
        </w:r>
        <w:r>
          <w:rPr>
            <w:color w:val="000000"/>
          </w:rPr>
          <w:t xml:space="preserve"> 257 N.W.2d 324, 328 (Minn.1977)</w:t>
        </w:r>
      </w:hyperlink>
      <w:r>
        <w:rPr>
          <w:color w:val="000000"/>
        </w:rPr>
        <w:t xml:space="preserve">) (internal marks omitted); see also </w:t>
      </w:r>
      <w:hyperlink r:id="rId70" w:history="1">
        <w:r>
          <w:rPr>
            <w:color w:val="000000"/>
          </w:rPr>
          <w:t>Minn. R. Civ. P. 59.01(g)</w:t>
        </w:r>
      </w:hyperlink>
      <w:r>
        <w:rPr>
          <w:color w:val="000000"/>
        </w:rPr>
        <w:t xml:space="preserve">. We review the district court’s denial of </w:t>
      </w:r>
      <w:r>
        <w:rPr>
          <w:color w:val="000000"/>
        </w:rPr>
        <w:t>“</w:t>
      </w:r>
      <w:r>
        <w:rPr>
          <w:color w:val="000000"/>
        </w:rPr>
        <w:t>a new trial for a clear abuse of discretion.</w:t>
      </w:r>
      <w:r>
        <w:rPr>
          <w:color w:val="000000"/>
        </w:rPr>
        <w:t>”</w:t>
      </w:r>
      <w:r>
        <w:rPr>
          <w:color w:val="000000"/>
        </w:rPr>
        <w:t xml:space="preserve"> </w:t>
      </w:r>
      <w:hyperlink r:id="rId71" w:history="1">
        <w:r>
          <w:rPr>
            <w:i/>
            <w:iCs/>
            <w:color w:val="000000"/>
          </w:rPr>
          <w:t>Harrison v. Purdy Bros. Trucking Co.,</w:t>
        </w:r>
        <w:r>
          <w:rPr>
            <w:color w:val="000000"/>
          </w:rPr>
          <w:t xml:space="preserve"> 31</w:t>
        </w:r>
        <w:r>
          <w:rPr>
            <w:color w:val="000000"/>
          </w:rPr>
          <w:t>2 F.3d 346, 351 (8th Cir.2002)</w:t>
        </w:r>
      </w:hyperlink>
      <w:r>
        <w:rPr>
          <w:color w:val="000000"/>
        </w:rPr>
        <w:t xml:space="preserve"> (quoting </w:t>
      </w:r>
      <w:hyperlink r:id="rId72" w:history="1">
        <w:r>
          <w:rPr>
            <w:i/>
            <w:iCs/>
            <w:color w:val="000000"/>
          </w:rPr>
          <w:t>Duty v. Norton–Alcoa Proppants,</w:t>
        </w:r>
        <w:r>
          <w:rPr>
            <w:color w:val="000000"/>
          </w:rPr>
          <w:t xml:space="preserve"> 293 F.3d 481, 495 (8th Cir.2002)</w:t>
        </w:r>
      </w:hyperlink>
      <w:r>
        <w:rPr>
          <w:color w:val="000000"/>
        </w:rPr>
        <w:t>) (internal quotation marks omitted).</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bookmarkStart w:id="29" w:name="co_anchor_I16dd66d19b6011e38578f7ccc38dc"/>
      <w:bookmarkEnd w:id="29"/>
    </w:p>
    <w:p w:rsidR="00000000" w:rsidRDefault="002226BA">
      <w:pPr>
        <w:widowControl w:val="0"/>
        <w:autoSpaceDE w:val="0"/>
        <w:autoSpaceDN w:val="0"/>
        <w:adjustRightInd w:val="0"/>
        <w:spacing w:before="200"/>
        <w:jc w:val="center"/>
        <w:rPr>
          <w:b/>
          <w:bCs/>
          <w:color w:val="000000"/>
        </w:rPr>
      </w:pPr>
      <w:r>
        <w:rPr>
          <w:b/>
          <w:bCs/>
          <w:color w:val="000000"/>
        </w:rPr>
        <w:t>B. Failure to Warn</w:t>
      </w:r>
    </w:p>
    <w:p w:rsidR="00000000" w:rsidRDefault="002226BA">
      <w:pPr>
        <w:widowControl w:val="0"/>
        <w:autoSpaceDE w:val="0"/>
        <w:autoSpaceDN w:val="0"/>
        <w:adjustRightInd w:val="0"/>
        <w:jc w:val="both"/>
        <w:rPr>
          <w:color w:val="000000"/>
        </w:rPr>
      </w:pPr>
      <w:r>
        <w:rPr>
          <w:color w:val="000000"/>
        </w:rPr>
        <w:t xml:space="preserve">Schedin presents two theories of failure-to-warn liability, alleging OMJP negligently failed to (1) use adequate means to inform Dr. Beecher of the 2001 warning against use of </w:t>
      </w:r>
      <w:hyperlink r:id="rId73" w:history="1">
        <w:r>
          <w:rPr>
            <w:color w:val="000000"/>
          </w:rPr>
          <w:t>Levaquin</w:t>
        </w:r>
      </w:hyperlink>
      <w:r>
        <w:rPr>
          <w:color w:val="000000"/>
        </w:rPr>
        <w:t xml:space="preserve"> with elderly patients on corticosteroids, and (2) include comparative tendon toxicity information in the package insert. Because OMJP was not entitled to JMOL or a new trial in light of Schedin’s first theory, we need not address whether the district cour</w:t>
      </w:r>
      <w:r>
        <w:rPr>
          <w:color w:val="000000"/>
        </w:rPr>
        <w:t>t erred in denying OMJP’s motions based upon Schedin’s comparative toxicity theory because any such error was harmless</w:t>
      </w:r>
      <w:r>
        <w:rPr>
          <w:color w:val="000000"/>
        </w:rPr>
        <w:t>—</w:t>
      </w:r>
      <w:r>
        <w:rPr>
          <w:color w:val="000000"/>
        </w:rPr>
        <w:t>Schedin was entitled to compensatory damages based on the first theory, even if the district court erred as to the comparative toxicity t</w:t>
      </w:r>
      <w:r>
        <w:rPr>
          <w:color w:val="000000"/>
        </w:rPr>
        <w:t xml:space="preserve">heory. </w:t>
      </w:r>
      <w:r>
        <w:rPr>
          <w:i/>
          <w:iCs/>
          <w:color w:val="000000"/>
        </w:rPr>
        <w:t xml:space="preserve">Cf. </w:t>
      </w:r>
      <w:hyperlink r:id="rId74" w:history="1">
        <w:r>
          <w:rPr>
            <w:i/>
            <w:iCs/>
            <w:color w:val="000000"/>
          </w:rPr>
          <w:t>Thomlison v. City of Omaha,</w:t>
        </w:r>
        <w:r>
          <w:rPr>
            <w:color w:val="000000"/>
          </w:rPr>
          <w:t xml:space="preserve"> 63 F.3d 786, 791 (8th Cir.1995)</w:t>
        </w:r>
      </w:hyperlink>
      <w:r>
        <w:rPr>
          <w:color w:val="000000"/>
        </w:rPr>
        <w:t xml:space="preserve"> (determining any error in granting JMOL on certain claims was harmless where the </w:t>
      </w:r>
      <w:r>
        <w:rPr>
          <w:color w:val="000000"/>
        </w:rPr>
        <w:t>“</w:t>
      </w:r>
      <w:r>
        <w:rPr>
          <w:color w:val="000000"/>
        </w:rPr>
        <w:t>the district court’s judgment [on plaintiff-appellant’</w:t>
      </w:r>
      <w:r>
        <w:rPr>
          <w:color w:val="000000"/>
        </w:rPr>
        <w:t>s other claim] preserved her full monetary and other relief</w:t>
      </w:r>
      <w:r>
        <w:rPr>
          <w:color w:val="000000"/>
        </w:rPr>
        <w:t>”</w:t>
      </w:r>
      <w:r>
        <w:rPr>
          <w:color w:val="000000"/>
        </w:rPr>
        <w:t>).</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hyperlink r:id="rId75" w:history="1">
        <w:r>
          <w:rPr>
            <w:b/>
            <w:bCs/>
            <w:color w:val="000000"/>
            <w:vertAlign w:val="superscript"/>
          </w:rPr>
          <w:t>[3]</w:t>
        </w:r>
      </w:hyperlink>
      <w:bookmarkStart w:id="30" w:name="co_anchor_B32029301530_1"/>
      <w:bookmarkEnd w:id="30"/>
      <w:r>
        <w:rPr>
          <w:color w:val="000000"/>
        </w:rPr>
        <w:t xml:space="preserve"> </w:t>
      </w:r>
      <w:hyperlink r:id="rId76" w:history="1">
        <w:r>
          <w:rPr>
            <w:b/>
            <w:bCs/>
            <w:color w:val="000000"/>
            <w:vertAlign w:val="superscript"/>
          </w:rPr>
          <w:t>[4]</w:t>
        </w:r>
      </w:hyperlink>
      <w:bookmarkStart w:id="31" w:name="co_anchor_B42029301530_1"/>
      <w:bookmarkEnd w:id="31"/>
      <w:r>
        <w:rPr>
          <w:color w:val="000000"/>
        </w:rPr>
        <w:t xml:space="preserve"> </w:t>
      </w:r>
      <w:hyperlink r:id="rId77" w:history="1">
        <w:r>
          <w:rPr>
            <w:b/>
            <w:bCs/>
            <w:color w:val="000000"/>
            <w:vertAlign w:val="superscript"/>
          </w:rPr>
          <w:t>[5]</w:t>
        </w:r>
      </w:hyperlink>
      <w:bookmarkStart w:id="32" w:name="co_anchor_B52029301530_1"/>
      <w:bookmarkEnd w:id="32"/>
      <w:r>
        <w:rPr>
          <w:color w:val="000000"/>
        </w:rPr>
        <w:t xml:space="preserve"> A plaintiff asserting a negligent failure-to-warn claim under Minnesota law </w:t>
      </w:r>
      <w:r>
        <w:rPr>
          <w:color w:val="000000"/>
        </w:rPr>
        <w:t>“</w:t>
      </w:r>
      <w:r>
        <w:rPr>
          <w:color w:val="000000"/>
        </w:rPr>
        <w:t>must show: (1) the defendant[ ] had reason to know of the danger</w:t>
      </w:r>
      <w:r>
        <w:rPr>
          <w:color w:val="000000"/>
        </w:rPr>
        <w:t xml:space="preserve">s of using the product; (2) </w:t>
      </w:r>
      <w:r>
        <w:rPr>
          <w:color w:val="000000"/>
        </w:rPr>
        <w:t>‘</w:t>
      </w:r>
      <w:r>
        <w:rPr>
          <w:color w:val="000000"/>
        </w:rPr>
        <w:t>the warnings fell short of those reasonably required,</w:t>
      </w:r>
      <w:r>
        <w:rPr>
          <w:color w:val="000000"/>
        </w:rPr>
        <w:t>’</w:t>
      </w:r>
      <w:r>
        <w:rPr>
          <w:color w:val="000000"/>
        </w:rPr>
        <w:t xml:space="preserve"> breaching the duty of care; and (3) the lack of an adequate warning caused the plaintiff’s injuries.</w:t>
      </w:r>
      <w:r>
        <w:rPr>
          <w:color w:val="000000"/>
        </w:rPr>
        <w:t>”</w:t>
      </w:r>
      <w:r>
        <w:rPr>
          <w:color w:val="000000"/>
        </w:rPr>
        <w:t xml:space="preserve"> </w:t>
      </w:r>
      <w:hyperlink r:id="rId78" w:history="1">
        <w:r>
          <w:rPr>
            <w:i/>
            <w:iCs/>
            <w:color w:val="000000"/>
          </w:rPr>
          <w:t>Tuttle v. Lorillard Tobacco Co.,</w:t>
        </w:r>
        <w:r>
          <w:rPr>
            <w:color w:val="000000"/>
          </w:rPr>
          <w:t xml:space="preserve"> </w:t>
        </w:r>
        <w:r>
          <w:rPr>
            <w:color w:val="000000"/>
          </w:rPr>
          <w:t>377 F.3d 917, 924 (8th Cir.2004)</w:t>
        </w:r>
      </w:hyperlink>
      <w:r>
        <w:rPr>
          <w:color w:val="000000"/>
        </w:rPr>
        <w:t xml:space="preserve"> (quoting </w:t>
      </w:r>
      <w:hyperlink r:id="rId79" w:history="1">
        <w:r>
          <w:rPr>
            <w:i/>
            <w:iCs/>
            <w:color w:val="000000"/>
          </w:rPr>
          <w:t>Erickson ex rel. Bunker v. Am. Honda Motor Co.,</w:t>
        </w:r>
        <w:r>
          <w:rPr>
            <w:color w:val="000000"/>
          </w:rPr>
          <w:t xml:space="preserve"> 455 N.W.2d 74, 77 (Minn.Ct.App.1990)</w:t>
        </w:r>
      </w:hyperlink>
      <w:r>
        <w:rPr>
          <w:color w:val="000000"/>
        </w:rPr>
        <w:t xml:space="preserve">). </w:t>
      </w:r>
      <w:r>
        <w:rPr>
          <w:color w:val="000000"/>
        </w:rPr>
        <w:t>“</w:t>
      </w:r>
      <w:r>
        <w:rPr>
          <w:color w:val="000000"/>
        </w:rPr>
        <w:t>[T]he existence of a duty to warn is a</w:t>
      </w:r>
      <w:r>
        <w:rPr>
          <w:color w:val="000000"/>
        </w:rPr>
        <w:t>”</w:t>
      </w:r>
      <w:r>
        <w:rPr>
          <w:color w:val="000000"/>
        </w:rPr>
        <w:t xml:space="preserve"> question of law. </w:t>
      </w:r>
      <w:hyperlink r:id="rId80" w:history="1">
        <w:r>
          <w:rPr>
            <w:i/>
            <w:iCs/>
            <w:color w:val="000000"/>
          </w:rPr>
          <w:t>Balder v. Haley,</w:t>
        </w:r>
        <w:r>
          <w:rPr>
            <w:color w:val="000000"/>
          </w:rPr>
          <w:t xml:space="preserve"> 399 N.W.2d 77, 81 (Minn.1987)</w:t>
        </w:r>
      </w:hyperlink>
      <w:r>
        <w:rPr>
          <w:color w:val="000000"/>
        </w:rPr>
        <w:t>. Under the learned intermediary doctrine,</w:t>
      </w:r>
      <w:bookmarkStart w:id="33" w:name="co_footnoteReference_B00652029301530_ID0"/>
      <w:bookmarkEnd w:id="33"/>
      <w:r>
        <w:rPr>
          <w:color w:val="000000"/>
          <w:sz w:val="16"/>
          <w:szCs w:val="16"/>
        </w:rPr>
        <w:fldChar w:fldCharType="begin"/>
      </w:r>
      <w:r>
        <w:rPr>
          <w:color w:val="000000"/>
          <w:sz w:val="16"/>
          <w:szCs w:val="16"/>
        </w:rPr>
        <w:instrText>HYPE</w:instrText>
      </w:r>
      <w:r>
        <w:rPr>
          <w:color w:val="000000"/>
          <w:sz w:val="16"/>
          <w:szCs w:val="16"/>
        </w:rPr>
        <w:instrText>RLINK</w:instrText>
      </w:r>
      <w:r>
        <w:rPr>
          <w:color w:val="000000"/>
          <w:sz w:val="16"/>
          <w:szCs w:val="16"/>
        </w:rPr>
        <w:instrText xml:space="preserve"> "#co_footnote_B00652029301530_1" </w:instrText>
      </w:r>
      <w:r>
        <w:rPr>
          <w:color w:val="000000"/>
          <w:sz w:val="16"/>
          <w:szCs w:val="16"/>
        </w:rPr>
      </w:r>
      <w:r>
        <w:rPr>
          <w:color w:val="000000"/>
          <w:sz w:val="16"/>
          <w:szCs w:val="16"/>
        </w:rPr>
        <w:fldChar w:fldCharType="separate"/>
      </w:r>
      <w:r>
        <w:rPr>
          <w:color w:val="000000"/>
          <w:sz w:val="16"/>
          <w:szCs w:val="16"/>
          <w:vertAlign w:val="superscript"/>
        </w:rPr>
        <w:t>5</w:t>
      </w:r>
      <w:r>
        <w:rPr>
          <w:color w:val="000000"/>
          <w:sz w:val="16"/>
          <w:szCs w:val="16"/>
        </w:rPr>
        <w:fldChar w:fldCharType="end"/>
      </w:r>
      <w:r>
        <w:rPr>
          <w:color w:val="000000"/>
        </w:rPr>
        <w:t xml:space="preserve"> as adopted in Minnesota, prescription drug manufacturers can satisfy their duty to warn by warning prescribing physicians of the risks associated with a drug, rather than warning patients directly. </w:t>
      </w:r>
      <w:r>
        <w:rPr>
          <w:i/>
          <w:iCs/>
          <w:color w:val="000000"/>
        </w:rPr>
        <w:t xml:space="preserve">See </w:t>
      </w:r>
      <w:hyperlink r:id="rId81" w:history="1">
        <w:r>
          <w:rPr>
            <w:i/>
            <w:iCs/>
            <w:color w:val="000000"/>
          </w:rPr>
          <w:t>Mulder,</w:t>
        </w:r>
        <w:r>
          <w:rPr>
            <w:color w:val="000000"/>
          </w:rPr>
          <w:t xml:space="preserve"> 181</w:t>
        </w:r>
        <w:r>
          <w:rPr>
            <w:color w:val="000000"/>
          </w:rPr>
          <w:t xml:space="preserve"> N.W.2d at 885 &amp; n. 1</w:t>
        </w:r>
      </w:hyperlink>
      <w:r>
        <w:rPr>
          <w:color w:val="000000"/>
        </w:rPr>
        <w:t>.</w:t>
      </w:r>
    </w:p>
    <w:p w:rsidR="00000000" w:rsidRDefault="002226BA">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34" w:name="co_footnote_B00652029301530_1"/>
          <w:bookmarkEnd w:id="34"/>
          <w:p w:rsidR="00000000" w:rsidRDefault="002226BA">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"#co_footnoteReference_B00652029301530_ID0" </w:instrText>
            </w:r>
            <w:r>
              <w:rPr>
                <w:color w:val="000000"/>
              </w:rPr>
            </w:r>
            <w:r>
              <w:rPr>
                <w:color w:val="000000"/>
              </w:rPr>
              <w:fldChar w:fldCharType="separate"/>
            </w:r>
            <w:r>
              <w:rPr>
                <w:color w:val="000000"/>
                <w:vertAlign w:val="superscript"/>
              </w:rPr>
              <w:t>5</w:t>
            </w:r>
            <w:r>
              <w:rPr>
                <w:color w:val="000000"/>
              </w:rPr>
              <w:fldChar w:fldCharType="end"/>
            </w:r>
          </w:p>
          <w:p w:rsidR="00000000" w:rsidRDefault="002226BA">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26BA">
            <w:pPr>
              <w:widowControl w:val="0"/>
              <w:autoSpaceDE w:val="0"/>
              <w:autoSpaceDN w:val="0"/>
              <w:adjustRightInd w:val="0"/>
              <w:jc w:val="both"/>
              <w:rPr>
                <w:color w:val="000000"/>
                <w:sz w:val="18"/>
                <w:szCs w:val="18"/>
              </w:rPr>
            </w:pPr>
            <w:r>
              <w:rPr>
                <w:color w:val="000000"/>
                <w:sz w:val="18"/>
                <w:szCs w:val="18"/>
              </w:rPr>
              <w:t xml:space="preserve">The learned intermediary doctrine provides that a drug </w:t>
            </w:r>
            <w:r>
              <w:rPr>
                <w:color w:val="000000"/>
                <w:sz w:val="18"/>
                <w:szCs w:val="18"/>
              </w:rPr>
              <w:t>“</w:t>
            </w:r>
            <w:r>
              <w:rPr>
                <w:color w:val="000000"/>
                <w:sz w:val="18"/>
                <w:szCs w:val="18"/>
              </w:rPr>
              <w:t>manufacturer has no duty to warn the</w:t>
            </w:r>
            <w:r>
              <w:rPr>
                <w:color w:val="000000"/>
                <w:sz w:val="18"/>
                <w:szCs w:val="18"/>
              </w:rPr>
              <w:t xml:space="preserve"> lay public regarding prescription drugs,</w:t>
            </w:r>
            <w:r>
              <w:rPr>
                <w:color w:val="000000"/>
                <w:sz w:val="18"/>
                <w:szCs w:val="18"/>
              </w:rPr>
              <w:t>”</w:t>
            </w:r>
            <w:r>
              <w:rPr>
                <w:color w:val="000000"/>
                <w:sz w:val="18"/>
                <w:szCs w:val="18"/>
              </w:rPr>
              <w:t xml:space="preserve"> but rather must warn the prescribing physician. </w:t>
            </w:r>
            <w:hyperlink r:id="rId82" w:history="1">
              <w:r>
                <w:rPr>
                  <w:i/>
                  <w:iCs/>
                  <w:color w:val="000000"/>
                  <w:sz w:val="18"/>
                  <w:szCs w:val="18"/>
                </w:rPr>
                <w:t>Mulder v. Parke Davis &amp; Co.,</w:t>
              </w:r>
              <w:r>
                <w:rPr>
                  <w:color w:val="000000"/>
                  <w:sz w:val="18"/>
                  <w:szCs w:val="18"/>
                </w:rPr>
                <w:t xml:space="preserve"> 288 Minn. 332, 181 N.W.2d 882, 885 &amp; n. 1 (1970)</w:t>
              </w:r>
            </w:hyperlink>
            <w:r>
              <w:rPr>
                <w:color w:val="000000"/>
                <w:sz w:val="18"/>
                <w:szCs w:val="18"/>
              </w:rPr>
              <w:t xml:space="preserve">. The reason for this rule is that the </w:t>
            </w:r>
            <w:r>
              <w:rPr>
                <w:color w:val="000000"/>
                <w:sz w:val="18"/>
                <w:szCs w:val="18"/>
              </w:rPr>
              <w:t xml:space="preserve">physician </w:t>
            </w:r>
            <w:r>
              <w:rPr>
                <w:color w:val="000000"/>
                <w:sz w:val="18"/>
                <w:szCs w:val="18"/>
              </w:rPr>
              <w:t>“</w:t>
            </w:r>
            <w:r>
              <w:rPr>
                <w:color w:val="000000"/>
                <w:sz w:val="18"/>
                <w:szCs w:val="18"/>
              </w:rPr>
              <w:t>is in the best position to give a highly individualized warning to a patient based on the physician’s knowledge of the patient and the inherent risks of the drug.</w:t>
            </w:r>
            <w:r>
              <w:rPr>
                <w:color w:val="000000"/>
                <w:sz w:val="18"/>
                <w:szCs w:val="18"/>
              </w:rPr>
              <w:t>”</w:t>
            </w:r>
            <w:r>
              <w:rPr>
                <w:color w:val="000000"/>
                <w:sz w:val="18"/>
                <w:szCs w:val="18"/>
              </w:rPr>
              <w:t xml:space="preserve"> </w:t>
            </w:r>
            <w:hyperlink r:id="rId83" w:history="1">
              <w:r>
                <w:rPr>
                  <w:i/>
                  <w:iCs/>
                  <w:color w:val="000000"/>
                  <w:sz w:val="18"/>
                  <w:szCs w:val="18"/>
                </w:rPr>
                <w:t>Kociemba v. G.D. Searle &amp; Co.,</w:t>
              </w:r>
              <w:r>
                <w:rPr>
                  <w:color w:val="000000"/>
                  <w:sz w:val="18"/>
                  <w:szCs w:val="18"/>
                </w:rPr>
                <w:t xml:space="preserve"> 680 F.Supp.</w:t>
              </w:r>
              <w:r>
                <w:rPr>
                  <w:color w:val="000000"/>
                  <w:sz w:val="18"/>
                  <w:szCs w:val="18"/>
                </w:rPr>
                <w:t xml:space="preserve"> 1293, 1305 (D.Minn.1988)</w:t>
              </w:r>
            </w:hyperlink>
            <w:r>
              <w:rPr>
                <w:color w:val="000000"/>
                <w:sz w:val="18"/>
                <w:szCs w:val="18"/>
              </w:rPr>
              <w:t>.</w:t>
            </w:r>
          </w:p>
          <w:p w:rsidR="00000000" w:rsidRDefault="002226BA">
            <w:pPr>
              <w:widowControl w:val="0"/>
              <w:autoSpaceDE w:val="0"/>
              <w:autoSpaceDN w:val="0"/>
              <w:adjustRightInd w:val="0"/>
              <w:jc w:val="both"/>
              <w:rPr>
                <w:color w:val="000000"/>
                <w:sz w:val="18"/>
                <w:szCs w:val="18"/>
              </w:rPr>
            </w:pPr>
          </w:p>
        </w:tc>
      </w:tr>
    </w:tbl>
    <w:p w:rsidR="00000000" w:rsidRDefault="002226BA">
      <w:pPr>
        <w:widowControl w:val="0"/>
        <w:autoSpaceDE w:val="0"/>
        <w:autoSpaceDN w:val="0"/>
        <w:adjustRightInd w:val="0"/>
        <w:jc w:val="both"/>
        <w:rPr>
          <w:color w:val="000000"/>
        </w:rPr>
      </w:pPr>
    </w:p>
    <w:p w:rsidR="00000000" w:rsidRDefault="002226BA">
      <w:pPr>
        <w:widowControl w:val="0"/>
        <w:autoSpaceDE w:val="0"/>
        <w:autoSpaceDN w:val="0"/>
        <w:adjustRightInd w:val="0"/>
        <w:jc w:val="both"/>
        <w:rPr>
          <w:color w:val="000000"/>
        </w:rPr>
      </w:pPr>
      <w:r>
        <w:rPr>
          <w:color w:val="000000"/>
        </w:rPr>
        <w:t>OMJP does not dispute it had notice of the risk of tendon rupture in elderly patients taking concomitant corticosteroids. The parties debate whether OMJP’s warning and the means of communicating that warning were a</w:t>
      </w:r>
      <w:r>
        <w:rPr>
          <w:color w:val="000000"/>
        </w:rPr>
        <w:t>dequate, and, if not, whether any inadequacy caused Schedin’s injury. Because OMJP’s arguments for JMOL and a new trial on Schedin’s failure to warn claim are substantially similar, we address the district court’s rulings on OMJP’s motions together.</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bookmarkStart w:id="35" w:name="co_anchor_I16dd66d29b6011e38578f7ccc38dc"/>
      <w:bookmarkEnd w:id="35"/>
    </w:p>
    <w:p w:rsidR="00000000" w:rsidRDefault="002226BA">
      <w:pPr>
        <w:widowControl w:val="0"/>
        <w:autoSpaceDE w:val="0"/>
        <w:autoSpaceDN w:val="0"/>
        <w:adjustRightInd w:val="0"/>
        <w:spacing w:before="400" w:after="200"/>
        <w:jc w:val="center"/>
        <w:rPr>
          <w:b/>
          <w:bCs/>
          <w:color w:val="000000"/>
        </w:rPr>
      </w:pPr>
      <w:bookmarkStart w:id="36" w:name="co_pp_sp_506_1167_1"/>
      <w:bookmarkEnd w:id="36"/>
      <w:r>
        <w:rPr>
          <w:b/>
          <w:bCs/>
          <w:color w:val="000000"/>
        </w:rPr>
        <w:t>*1167</w:t>
      </w:r>
      <w:r>
        <w:rPr>
          <w:color w:val="000000"/>
        </w:rPr>
        <w:t xml:space="preserve"> </w:t>
      </w:r>
      <w:r>
        <w:rPr>
          <w:b/>
          <w:bCs/>
          <w:color w:val="000000"/>
        </w:rPr>
        <w:t>1. Inadequate Communication of 2001 Warning</w:t>
      </w:r>
    </w:p>
    <w:p w:rsidR="00000000" w:rsidRDefault="002226BA">
      <w:pPr>
        <w:widowControl w:val="0"/>
        <w:autoSpaceDE w:val="0"/>
        <w:autoSpaceDN w:val="0"/>
        <w:adjustRightInd w:val="0"/>
        <w:jc w:val="both"/>
        <w:rPr>
          <w:color w:val="000000"/>
        </w:rPr>
      </w:pPr>
      <w:hyperlink r:id="rId84" w:history="1">
        <w:r>
          <w:rPr>
            <w:b/>
            <w:bCs/>
            <w:color w:val="000000"/>
            <w:vertAlign w:val="superscript"/>
          </w:rPr>
          <w:t>[6]</w:t>
        </w:r>
      </w:hyperlink>
      <w:bookmarkStart w:id="37" w:name="co_anchor_B62029301530_1"/>
      <w:bookmarkEnd w:id="37"/>
      <w:r>
        <w:rPr>
          <w:color w:val="000000"/>
        </w:rPr>
        <w:t xml:space="preserve"> The district court denied OMJP’s motion for a new trial, finding the jury’s verdict that OMJP did not adequately communicate the 2001 warning to Dr. Beecher was not against the great weight of the evidence and thus was not a miscar</w:t>
      </w:r>
      <w:r>
        <w:rPr>
          <w:color w:val="000000"/>
        </w:rPr>
        <w:t>riage of justice under Minnesota law.</w:t>
      </w:r>
      <w:bookmarkStart w:id="38" w:name="co_footnoteReference_B00762029301530_ID0"/>
      <w:bookmarkEnd w:id="38"/>
      <w:r>
        <w:rPr>
          <w:color w:val="000000"/>
          <w:sz w:val="16"/>
          <w:szCs w:val="16"/>
        </w:rPr>
        <w:fldChar w:fldCharType="begin"/>
      </w:r>
      <w:r>
        <w:rPr>
          <w:color w:val="000000"/>
          <w:sz w:val="16"/>
          <w:szCs w:val="16"/>
        </w:rPr>
        <w:instrText>HYPERLINK</w:instrText>
      </w:r>
      <w:r>
        <w:rPr>
          <w:color w:val="000000"/>
          <w:sz w:val="16"/>
          <w:szCs w:val="16"/>
        </w:rPr>
        <w:instrText xml:space="preserve"> "#co_footnote_B00762029301530_1" </w:instrText>
      </w:r>
      <w:r>
        <w:rPr>
          <w:color w:val="000000"/>
          <w:sz w:val="16"/>
          <w:szCs w:val="16"/>
        </w:rPr>
      </w:r>
      <w:r>
        <w:rPr>
          <w:color w:val="000000"/>
          <w:sz w:val="16"/>
          <w:szCs w:val="16"/>
        </w:rPr>
        <w:fldChar w:fldCharType="separate"/>
      </w:r>
      <w:r>
        <w:rPr>
          <w:color w:val="000000"/>
          <w:sz w:val="16"/>
          <w:szCs w:val="16"/>
          <w:vertAlign w:val="superscript"/>
        </w:rPr>
        <w:t>6</w:t>
      </w:r>
      <w:r>
        <w:rPr>
          <w:color w:val="000000"/>
          <w:sz w:val="16"/>
          <w:szCs w:val="16"/>
        </w:rPr>
        <w:fldChar w:fldCharType="end"/>
      </w:r>
      <w:r>
        <w:rPr>
          <w:color w:val="000000"/>
        </w:rPr>
        <w:t xml:space="preserve"> Though OMJP changed the tendon warning in the package insert, there is just enough</w:t>
      </w:r>
      <w:r>
        <w:rPr>
          <w:color w:val="000000"/>
        </w:rPr>
        <w:t xml:space="preserve"> evidence to support a reasonable jury finding OMJP did not use sufficient means, under the circumstances of this case, to advise Dr. Beecher of the 2001 warning once OMJP learned the package insert was ineffective.</w:t>
      </w:r>
    </w:p>
    <w:p w:rsidR="00000000" w:rsidRDefault="002226BA">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39" w:name="co_footnote_B00762029301530_1"/>
          <w:bookmarkEnd w:id="39"/>
          <w:p w:rsidR="00000000" w:rsidRDefault="002226BA">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"#co_footnoteReference_B00762029301530_ID0" </w:instrText>
            </w:r>
            <w:r>
              <w:rPr>
                <w:color w:val="000000"/>
              </w:rPr>
            </w:r>
            <w:r>
              <w:rPr>
                <w:color w:val="000000"/>
              </w:rPr>
              <w:fldChar w:fldCharType="separate"/>
            </w:r>
            <w:r>
              <w:rPr>
                <w:color w:val="000000"/>
                <w:vertAlign w:val="superscript"/>
              </w:rPr>
              <w:t>6</w:t>
            </w:r>
            <w:r>
              <w:rPr>
                <w:color w:val="000000"/>
              </w:rPr>
              <w:fldChar w:fldCharType="end"/>
            </w:r>
          </w:p>
          <w:p w:rsidR="00000000" w:rsidRDefault="002226BA">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26BA">
            <w:pPr>
              <w:widowControl w:val="0"/>
              <w:autoSpaceDE w:val="0"/>
              <w:autoSpaceDN w:val="0"/>
              <w:adjustRightInd w:val="0"/>
              <w:jc w:val="both"/>
              <w:rPr>
                <w:color w:val="000000"/>
                <w:sz w:val="18"/>
                <w:szCs w:val="18"/>
              </w:rPr>
            </w:pPr>
            <w:r>
              <w:rPr>
                <w:color w:val="000000"/>
                <w:sz w:val="18"/>
                <w:szCs w:val="18"/>
              </w:rPr>
              <w:t xml:space="preserve">The district court did not address these arguments under the standard for JMOL because the district court </w:t>
            </w:r>
            <w:r>
              <w:rPr>
                <w:color w:val="000000"/>
                <w:sz w:val="18"/>
                <w:szCs w:val="18"/>
              </w:rPr>
              <w:t>“</w:t>
            </w:r>
            <w:r>
              <w:rPr>
                <w:color w:val="000000"/>
                <w:sz w:val="18"/>
                <w:szCs w:val="18"/>
              </w:rPr>
              <w:t>determined those arguments fail under the less stringent sta</w:t>
            </w:r>
            <w:r>
              <w:rPr>
                <w:color w:val="000000"/>
                <w:sz w:val="18"/>
                <w:szCs w:val="18"/>
              </w:rPr>
              <w:t>ndard of that for a new trial.</w:t>
            </w:r>
            <w:r>
              <w:rPr>
                <w:color w:val="000000"/>
                <w:sz w:val="18"/>
                <w:szCs w:val="18"/>
              </w:rPr>
              <w:t>”</w:t>
            </w:r>
            <w:r>
              <w:rPr>
                <w:color w:val="000000"/>
                <w:sz w:val="18"/>
                <w:szCs w:val="18"/>
              </w:rPr>
              <w:t xml:space="preserve"> We agree. </w:t>
            </w:r>
            <w:r>
              <w:rPr>
                <w:i/>
                <w:iCs/>
                <w:color w:val="000000"/>
                <w:sz w:val="18"/>
                <w:szCs w:val="18"/>
              </w:rPr>
              <w:t xml:space="preserve">See </w:t>
            </w:r>
            <w:hyperlink r:id="rId85" w:history="1">
              <w:r>
                <w:rPr>
                  <w:i/>
                  <w:iCs/>
                  <w:color w:val="000000"/>
                  <w:sz w:val="18"/>
                  <w:szCs w:val="18"/>
                </w:rPr>
                <w:t>Clifford,</w:t>
              </w:r>
              <w:r>
                <w:rPr>
                  <w:color w:val="000000"/>
                  <w:sz w:val="18"/>
                  <w:szCs w:val="18"/>
                </w:rPr>
                <w:t xml:space="preserve"> 681 N.W.2d at 687</w:t>
              </w:r>
            </w:hyperlink>
            <w:r>
              <w:rPr>
                <w:color w:val="000000"/>
                <w:sz w:val="18"/>
                <w:szCs w:val="18"/>
              </w:rPr>
              <w:t>.</w:t>
            </w:r>
          </w:p>
          <w:p w:rsidR="00000000" w:rsidRDefault="002226BA">
            <w:pPr>
              <w:widowControl w:val="0"/>
              <w:autoSpaceDE w:val="0"/>
              <w:autoSpaceDN w:val="0"/>
              <w:adjustRightInd w:val="0"/>
              <w:jc w:val="both"/>
              <w:rPr>
                <w:color w:val="000000"/>
                <w:sz w:val="18"/>
                <w:szCs w:val="18"/>
              </w:rPr>
            </w:pPr>
          </w:p>
        </w:tc>
      </w:tr>
    </w:tbl>
    <w:p w:rsidR="00000000" w:rsidRDefault="002226BA">
      <w:pPr>
        <w:widowControl w:val="0"/>
        <w:autoSpaceDE w:val="0"/>
        <w:autoSpaceDN w:val="0"/>
        <w:adjustRightInd w:val="0"/>
        <w:jc w:val="both"/>
        <w:rPr>
          <w:color w:val="000000"/>
        </w:rPr>
      </w:pPr>
    </w:p>
    <w:p w:rsidR="00000000" w:rsidRDefault="002226BA">
      <w:pPr>
        <w:widowControl w:val="0"/>
        <w:autoSpaceDE w:val="0"/>
        <w:autoSpaceDN w:val="0"/>
        <w:adjustRightInd w:val="0"/>
        <w:jc w:val="both"/>
        <w:rPr>
          <w:color w:val="000000"/>
        </w:rPr>
      </w:pPr>
      <w:r>
        <w:rPr>
          <w:color w:val="000000"/>
        </w:rPr>
        <w:t>Courts disagree about whether simply changing the package insert warnings insulates a drug manufacturer from failure-to-warn liab</w:t>
      </w:r>
      <w:r>
        <w:rPr>
          <w:color w:val="000000"/>
        </w:rPr>
        <w:t xml:space="preserve">ility, and Minnesota courts have not decided this issue. Many courts considering the question have held a properly worded package insert is a sufficient warning as a matter of law, at least when it is combined with an entry in the PDR. </w:t>
      </w:r>
      <w:r>
        <w:rPr>
          <w:i/>
          <w:iCs/>
          <w:color w:val="000000"/>
        </w:rPr>
        <w:t>See</w:t>
      </w:r>
      <w:r>
        <w:rPr>
          <w:color w:val="000000"/>
        </w:rPr>
        <w:t xml:space="preserve">, </w:t>
      </w:r>
      <w:r>
        <w:rPr>
          <w:i/>
          <w:iCs/>
          <w:color w:val="000000"/>
        </w:rPr>
        <w:t xml:space="preserve">e.g., </w:t>
      </w:r>
      <w:hyperlink r:id="rId86" w:history="1">
        <w:r>
          <w:rPr>
            <w:i/>
            <w:iCs/>
            <w:color w:val="000000"/>
          </w:rPr>
          <w:t>Foister v. Purdue Pharma., L.P.,</w:t>
        </w:r>
        <w:r>
          <w:rPr>
            <w:color w:val="000000"/>
          </w:rPr>
          <w:t xml:space="preserve"> 295 F.Supp.2d 693, 705–08 (E.D.Ky.2003)</w:t>
        </w:r>
      </w:hyperlink>
      <w:r>
        <w:rPr>
          <w:color w:val="000000"/>
        </w:rPr>
        <w:t xml:space="preserve">; </w:t>
      </w:r>
      <w:hyperlink r:id="rId87" w:history="1">
        <w:r>
          <w:rPr>
            <w:i/>
            <w:iCs/>
            <w:color w:val="000000"/>
          </w:rPr>
          <w:t>MacPherson v. Searle &amp; Co.,</w:t>
        </w:r>
        <w:r>
          <w:rPr>
            <w:color w:val="000000"/>
          </w:rPr>
          <w:t xml:space="preserve"> 775 F.Supp. 417, 425 (D.D.C.1991)</w:t>
        </w:r>
      </w:hyperlink>
      <w:r>
        <w:rPr>
          <w:color w:val="000000"/>
        </w:rPr>
        <w:t xml:space="preserve">; </w:t>
      </w:r>
      <w:hyperlink r:id="rId88" w:history="1">
        <w:r>
          <w:rPr>
            <w:i/>
            <w:iCs/>
            <w:color w:val="000000"/>
          </w:rPr>
          <w:t>Weinberger v. Bristol–Myers Co.,</w:t>
        </w:r>
        <w:r>
          <w:rPr>
            <w:color w:val="000000"/>
          </w:rPr>
          <w:t xml:space="preserve"> 652 F.Supp. 187, 190 (D.Md.1986)</w:t>
        </w:r>
      </w:hyperlink>
      <w:r>
        <w:rPr>
          <w:color w:val="000000"/>
        </w:rPr>
        <w:t xml:space="preserve">; </w:t>
      </w:r>
      <w:hyperlink r:id="rId89" w:history="1">
        <w:r>
          <w:rPr>
            <w:i/>
            <w:iCs/>
            <w:color w:val="000000"/>
          </w:rPr>
          <w:t>Dunkin v. Syntex Labs., Inc.,</w:t>
        </w:r>
        <w:r>
          <w:rPr>
            <w:color w:val="000000"/>
          </w:rPr>
          <w:t xml:space="preserve"> 443 F.Supp. 121, 124 (W.D.Tenn.1977)</w:t>
        </w:r>
      </w:hyperlink>
      <w:r>
        <w:rPr>
          <w:color w:val="000000"/>
        </w:rPr>
        <w:t xml:space="preserve">. On the other hand, applying South Dakota law, our </w:t>
      </w:r>
      <w:r>
        <w:rPr>
          <w:color w:val="000000"/>
        </w:rPr>
        <w:t xml:space="preserve">court concluded, </w:t>
      </w:r>
      <w:r>
        <w:rPr>
          <w:color w:val="000000"/>
        </w:rPr>
        <w:t>“</w:t>
      </w:r>
      <w:r>
        <w:rPr>
          <w:color w:val="000000"/>
        </w:rPr>
        <w:t>when the dangers of the prolonged use of [a] drug ... became reasonably apparent, it was not unreasonable to find that the [manufacturer] should have employed all its usual means of communication, including [sales representatives], to war</w:t>
      </w:r>
      <w:r>
        <w:rPr>
          <w:color w:val="000000"/>
        </w:rPr>
        <w:t>n the prescribing physicians of these dangers.</w:t>
      </w:r>
      <w:r>
        <w:rPr>
          <w:color w:val="000000"/>
        </w:rPr>
        <w:t>”</w:t>
      </w:r>
      <w:r>
        <w:rPr>
          <w:color w:val="000000"/>
        </w:rPr>
        <w:t xml:space="preserve"> </w:t>
      </w:r>
      <w:hyperlink r:id="rId90" w:history="1">
        <w:r>
          <w:rPr>
            <w:i/>
            <w:iCs/>
            <w:color w:val="000000"/>
          </w:rPr>
          <w:t>Sterling Drug, Inc. v. Yarrow,</w:t>
        </w:r>
        <w:r>
          <w:rPr>
            <w:color w:val="000000"/>
          </w:rPr>
          <w:t xml:space="preserve"> 408 F.2d 978, 992 (8th Cir.1969)</w:t>
        </w:r>
      </w:hyperlink>
      <w:r>
        <w:rPr>
          <w:color w:val="000000"/>
        </w:rPr>
        <w:t>. We do not address this split by deciding the issue as a matter of law because, on the narrow f</w:t>
      </w:r>
      <w:r>
        <w:rPr>
          <w:color w:val="000000"/>
        </w:rPr>
        <w:t>acts of this case, there was sufficient evidence for a reasonable jury to find OMJP should have known that the package insert and PDR warnings were not adequately communicating the 2001 warning to physicians.</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The 2001 warning added a sentence to the last</w:t>
      </w:r>
      <w:r>
        <w:rPr>
          <w:color w:val="000000"/>
        </w:rPr>
        <w:t xml:space="preserve"> paragraph of the ten paragraph </w:t>
      </w:r>
      <w:r>
        <w:rPr>
          <w:color w:val="000000"/>
        </w:rPr>
        <w:t>“</w:t>
      </w:r>
      <w:r>
        <w:rPr>
          <w:color w:val="000000"/>
        </w:rPr>
        <w:t>Warnings</w:t>
      </w:r>
      <w:r>
        <w:rPr>
          <w:color w:val="000000"/>
        </w:rPr>
        <w:t>”</w:t>
      </w:r>
      <w:r>
        <w:rPr>
          <w:color w:val="000000"/>
        </w:rPr>
        <w:t xml:space="preserve"> section of the package insert. It was surrounded by more than fifteen pages of other small print. More importantly, the FDA’s 2008 letter indicates the FDA received a large number of reports about </w:t>
      </w:r>
      <w:hyperlink r:id="rId91" w:history="1">
        <w:r>
          <w:rPr>
            <w:color w:val="000000"/>
          </w:rPr>
          <w:t>tendon injuries</w:t>
        </w:r>
      </w:hyperlink>
      <w:r>
        <w:rPr>
          <w:color w:val="000000"/>
        </w:rPr>
        <w:t xml:space="preserve"> related to </w:t>
      </w:r>
      <w:hyperlink r:id="rId92" w:history="1">
        <w:r>
          <w:rPr>
            <w:color w:val="000000"/>
          </w:rPr>
          <w:t>Levaquin</w:t>
        </w:r>
      </w:hyperlink>
      <w:r>
        <w:rPr>
          <w:color w:val="000000"/>
        </w:rPr>
        <w:t xml:space="preserve"> use. The jury could infer at leas</w:t>
      </w:r>
      <w:r>
        <w:rPr>
          <w:color w:val="000000"/>
        </w:rPr>
        <w:t>t some of the reports were made between 2001 and Schedin’s 2005 prescription and injury. OMJP had access to these adverse event reports. From this evidence, a reasonable jury could find OMJP should have realized the adverse event reports indicated physicia</w:t>
      </w:r>
      <w:r>
        <w:rPr>
          <w:color w:val="000000"/>
        </w:rPr>
        <w:t xml:space="preserve">ns were unaware of the 2001 warning. The district court did not abuse its discretion in deciding it was not against the preponderance of the evidence or a miscarriage of justice under Minnesota law for the jury to find OMJP had reason to know it needed to </w:t>
      </w:r>
      <w:r>
        <w:rPr>
          <w:color w:val="000000"/>
        </w:rPr>
        <w:t xml:space="preserve">do more to inform physicians of the 2001 warning, such as sending </w:t>
      </w:r>
      <w:r>
        <w:rPr>
          <w:color w:val="000000"/>
        </w:rPr>
        <w:t>“</w:t>
      </w:r>
      <w:r>
        <w:rPr>
          <w:color w:val="000000"/>
        </w:rPr>
        <w:t>Dear Doctor</w:t>
      </w:r>
      <w:r>
        <w:rPr>
          <w:color w:val="000000"/>
        </w:rPr>
        <w:t>”</w:t>
      </w:r>
      <w:r>
        <w:rPr>
          <w:color w:val="000000"/>
        </w:rPr>
        <w:t xml:space="preserve"> letters or directing sales representatives to warn physicians directly. The district court properly denied JMOL for the same reasons.</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hyperlink r:id="rId93" w:history="1">
        <w:r>
          <w:rPr>
            <w:b/>
            <w:bCs/>
            <w:color w:val="000000"/>
            <w:vertAlign w:val="superscript"/>
          </w:rPr>
          <w:t>[7</w:t>
        </w:r>
        <w:r>
          <w:rPr>
            <w:b/>
            <w:bCs/>
            <w:color w:val="000000"/>
            <w:vertAlign w:val="superscript"/>
          </w:rPr>
          <w:t>]</w:t>
        </w:r>
      </w:hyperlink>
      <w:bookmarkStart w:id="40" w:name="co_anchor_B72029301530_1"/>
      <w:bookmarkEnd w:id="40"/>
      <w:r>
        <w:rPr>
          <w:color w:val="000000"/>
        </w:rPr>
        <w:t xml:space="preserve"> OMJP maintains the district court erred in admitting the 2008 FDA letter into evidence because OMJP </w:t>
      </w:r>
      <w:r>
        <w:rPr>
          <w:color w:val="000000"/>
        </w:rPr>
        <w:t>“</w:t>
      </w:r>
      <w:r>
        <w:rPr>
          <w:color w:val="000000"/>
        </w:rPr>
        <w:t>cannot be liable for knowledge [OMJP] could not have possessed until later.</w:t>
      </w:r>
      <w:r>
        <w:rPr>
          <w:color w:val="000000"/>
        </w:rPr>
        <w:t>”</w:t>
      </w:r>
      <w:r>
        <w:rPr>
          <w:color w:val="000000"/>
        </w:rPr>
        <w:t xml:space="preserve"> OMJP argues the </w:t>
      </w:r>
      <w:r>
        <w:rPr>
          <w:color w:val="000000"/>
        </w:rPr>
        <w:t xml:space="preserve">letter contains such later-acquired information because (1) the FDA can require </w:t>
      </w:r>
      <w:bookmarkStart w:id="41" w:name="co_pp_sp_506_1168_1"/>
      <w:bookmarkEnd w:id="41"/>
      <w:r>
        <w:rPr>
          <w:b/>
          <w:bCs/>
          <w:color w:val="000000"/>
        </w:rPr>
        <w:t>*1168</w:t>
      </w:r>
      <w:r>
        <w:rPr>
          <w:color w:val="000000"/>
        </w:rPr>
        <w:t xml:space="preserve"> label changes based only on new information; and (2) most of the events to which the letter refers must have occurred after Schedin’</w:t>
      </w:r>
      <w:r>
        <w:rPr>
          <w:color w:val="000000"/>
        </w:rPr>
        <w:t xml:space="preserve">s February 2005 injury because the 2008 letter </w:t>
      </w:r>
      <w:r>
        <w:rPr>
          <w:color w:val="000000"/>
        </w:rPr>
        <w:t>“</w:t>
      </w:r>
      <w:r>
        <w:rPr>
          <w:color w:val="000000"/>
        </w:rPr>
        <w:t>emphasized reliance on adverse event reports received after the</w:t>
      </w:r>
      <w:r>
        <w:rPr>
          <w:color w:val="000000"/>
        </w:rPr>
        <w:t>”</w:t>
      </w:r>
      <w:r>
        <w:rPr>
          <w:color w:val="000000"/>
        </w:rPr>
        <w:t xml:space="preserve"> FDA approved the revised tendon warning for all fluoroquinolones in 2004.</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hyperlink r:id="rId94" w:history="1">
        <w:r>
          <w:rPr>
            <w:b/>
            <w:bCs/>
            <w:color w:val="000000"/>
            <w:vertAlign w:val="superscript"/>
          </w:rPr>
          <w:t>[8]</w:t>
        </w:r>
      </w:hyperlink>
      <w:bookmarkStart w:id="42" w:name="co_anchor_B82029301530_1"/>
      <w:bookmarkEnd w:id="42"/>
      <w:r>
        <w:rPr>
          <w:color w:val="000000"/>
        </w:rPr>
        <w:t xml:space="preserve"> As discussed above, the 2008 letter provides some corroboration of the probability OMJP had some knowledge of the adverse event reports before Schedin’s injury in February 2005. Although the FDA must notify drug manufact</w:t>
      </w:r>
      <w:r>
        <w:rPr>
          <w:color w:val="000000"/>
        </w:rPr>
        <w:t xml:space="preserve">urers of </w:t>
      </w:r>
      <w:r>
        <w:rPr>
          <w:color w:val="000000"/>
        </w:rPr>
        <w:t>“</w:t>
      </w:r>
      <w:r>
        <w:rPr>
          <w:color w:val="000000"/>
        </w:rPr>
        <w:t>new safety information that the Secretary believes should be included in</w:t>
      </w:r>
      <w:r>
        <w:rPr>
          <w:color w:val="000000"/>
        </w:rPr>
        <w:t>”</w:t>
      </w:r>
      <w:r>
        <w:rPr>
          <w:color w:val="000000"/>
        </w:rPr>
        <w:t xml:space="preserve"> a drug label, </w:t>
      </w:r>
      <w:hyperlink r:id="rId95" w:history="1">
        <w:r>
          <w:rPr>
            <w:color w:val="000000"/>
          </w:rPr>
          <w:t>21 U.S.C. § 355(</w:t>
        </w:r>
        <w:r>
          <w:rPr>
            <w:i/>
            <w:iCs/>
            <w:color w:val="000000"/>
          </w:rPr>
          <w:t xml:space="preserve">o </w:t>
        </w:r>
        <w:r>
          <w:rPr>
            <w:color w:val="000000"/>
          </w:rPr>
          <w:t>)(4)</w:t>
        </w:r>
      </w:hyperlink>
      <w:r>
        <w:rPr>
          <w:color w:val="000000"/>
        </w:rPr>
        <w:t xml:space="preserve">, nothing in the definition of </w:t>
      </w:r>
      <w:r>
        <w:rPr>
          <w:color w:val="000000"/>
        </w:rPr>
        <w:t>“</w:t>
      </w:r>
      <w:r>
        <w:rPr>
          <w:color w:val="000000"/>
        </w:rPr>
        <w:t>new safety information</w:t>
      </w:r>
      <w:r>
        <w:rPr>
          <w:color w:val="000000"/>
        </w:rPr>
        <w:t>”</w:t>
      </w:r>
      <w:r>
        <w:rPr>
          <w:color w:val="000000"/>
        </w:rPr>
        <w:t xml:space="preserve"> excludes information that was known or knowable before a label cha</w:t>
      </w:r>
      <w:r>
        <w:rPr>
          <w:color w:val="000000"/>
        </w:rPr>
        <w:t xml:space="preserve">nge, </w:t>
      </w:r>
      <w:r>
        <w:rPr>
          <w:i/>
          <w:iCs/>
          <w:color w:val="000000"/>
        </w:rPr>
        <w:t>see</w:t>
      </w:r>
      <w:r>
        <w:rPr>
          <w:color w:val="000000"/>
        </w:rPr>
        <w:t xml:space="preserve"> </w:t>
      </w:r>
      <w:hyperlink r:id="rId96" w:history="1">
        <w:r>
          <w:rPr>
            <w:color w:val="000000"/>
          </w:rPr>
          <w:t>21 U.S.C. § 355–1(b)(3)</w:t>
        </w:r>
      </w:hyperlink>
      <w:r>
        <w:rPr>
          <w:color w:val="000000"/>
        </w:rPr>
        <w:t xml:space="preserve">. In fact, such information </w:t>
      </w:r>
      <w:r>
        <w:rPr>
          <w:color w:val="000000"/>
        </w:rPr>
        <w:t>“</w:t>
      </w:r>
      <w:r>
        <w:rPr>
          <w:color w:val="000000"/>
        </w:rPr>
        <w:t>may be based on a new analysis of</w:t>
      </w:r>
      <w:r>
        <w:rPr>
          <w:color w:val="000000"/>
        </w:rPr>
        <w:t>”</w:t>
      </w:r>
      <w:r>
        <w:rPr>
          <w:color w:val="000000"/>
        </w:rPr>
        <w:t xml:space="preserve"> information that existed when the FDA initially approved a drug. </w:t>
      </w:r>
      <w:hyperlink r:id="rId97" w:history="1">
        <w:r>
          <w:rPr>
            <w:color w:val="000000"/>
          </w:rPr>
          <w:t>21 U.S.C. § 355–1(b)(3)(A)</w:t>
        </w:r>
      </w:hyperlink>
      <w:r>
        <w:rPr>
          <w:color w:val="000000"/>
        </w:rPr>
        <w:t xml:space="preserve">. The jury reasonably could have found some reports were made before Schedin’s 2005 injury. The district court could have found the letter inadmissible, but did not abuse its considerable discretion in admitting the FDA’s 2008 letter. </w:t>
      </w:r>
      <w:r>
        <w:rPr>
          <w:i/>
          <w:iCs/>
          <w:color w:val="000000"/>
        </w:rPr>
        <w:t>See</w:t>
      </w:r>
      <w:r>
        <w:rPr>
          <w:color w:val="000000"/>
        </w:rPr>
        <w:t xml:space="preserve"> </w:t>
      </w:r>
      <w:hyperlink r:id="rId98" w:history="1">
        <w:r>
          <w:rPr>
            <w:i/>
            <w:iCs/>
            <w:color w:val="000000"/>
          </w:rPr>
          <w:t>Der v. Connolly,</w:t>
        </w:r>
        <w:r>
          <w:rPr>
            <w:color w:val="000000"/>
          </w:rPr>
          <w:t xml:space="preserve"> 666 F.3d 1120, 1130–31 (8th Cir.2012)</w:t>
        </w:r>
      </w:hyperlink>
      <w:r>
        <w:rPr>
          <w:color w:val="000000"/>
        </w:rPr>
        <w:t xml:space="preserve"> (standard of review).</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bookmarkStart w:id="43" w:name="co_anchor_I16dd66d39b6011e38578f7ccc38dc"/>
      <w:bookmarkEnd w:id="43"/>
    </w:p>
    <w:p w:rsidR="00000000" w:rsidRDefault="002226BA">
      <w:pPr>
        <w:widowControl w:val="0"/>
        <w:autoSpaceDE w:val="0"/>
        <w:autoSpaceDN w:val="0"/>
        <w:adjustRightInd w:val="0"/>
        <w:spacing w:before="400" w:after="200"/>
        <w:jc w:val="center"/>
        <w:rPr>
          <w:b/>
          <w:bCs/>
          <w:color w:val="000000"/>
        </w:rPr>
      </w:pPr>
      <w:r>
        <w:rPr>
          <w:b/>
          <w:bCs/>
          <w:color w:val="000000"/>
        </w:rPr>
        <w:t>2. Causation</w:t>
      </w:r>
    </w:p>
    <w:p w:rsidR="00000000" w:rsidRDefault="002226BA">
      <w:pPr>
        <w:widowControl w:val="0"/>
        <w:autoSpaceDE w:val="0"/>
        <w:autoSpaceDN w:val="0"/>
        <w:adjustRightInd w:val="0"/>
        <w:jc w:val="both"/>
        <w:rPr>
          <w:color w:val="000000"/>
        </w:rPr>
      </w:pPr>
      <w:hyperlink r:id="rId99" w:history="1">
        <w:r>
          <w:rPr>
            <w:b/>
            <w:bCs/>
            <w:color w:val="000000"/>
            <w:vertAlign w:val="superscript"/>
          </w:rPr>
          <w:t>[9]</w:t>
        </w:r>
      </w:hyperlink>
      <w:bookmarkStart w:id="44" w:name="co_anchor_B92029301530_1"/>
      <w:bookmarkEnd w:id="44"/>
      <w:r>
        <w:rPr>
          <w:color w:val="000000"/>
        </w:rPr>
        <w:t xml:space="preserve"> </w:t>
      </w:r>
      <w:hyperlink r:id="rId100" w:history="1">
        <w:r>
          <w:rPr>
            <w:b/>
            <w:bCs/>
            <w:color w:val="000000"/>
            <w:vertAlign w:val="superscript"/>
          </w:rPr>
          <w:t>[10]</w:t>
        </w:r>
      </w:hyperlink>
      <w:bookmarkStart w:id="45" w:name="co_anchor_B102029301530_1"/>
      <w:bookmarkEnd w:id="45"/>
      <w:r>
        <w:rPr>
          <w:color w:val="000000"/>
        </w:rPr>
        <w:t xml:space="preserve"> Although, generally, </w:t>
      </w:r>
      <w:r>
        <w:rPr>
          <w:color w:val="000000"/>
        </w:rPr>
        <w:t>“</w:t>
      </w:r>
      <w:r>
        <w:rPr>
          <w:color w:val="000000"/>
        </w:rPr>
        <w:t xml:space="preserve">[w]here warning is given, </w:t>
      </w:r>
      <w:r>
        <w:rPr>
          <w:i/>
          <w:iCs/>
          <w:color w:val="000000"/>
        </w:rPr>
        <w:t>the seller may reasonably assume that it wil</w:t>
      </w:r>
      <w:r>
        <w:rPr>
          <w:i/>
          <w:iCs/>
          <w:color w:val="000000"/>
        </w:rPr>
        <w:t>l be read and heeded</w:t>
      </w:r>
      <w:r>
        <w:rPr>
          <w:color w:val="000000"/>
        </w:rPr>
        <w:t>,</w:t>
      </w:r>
      <w:r>
        <w:rPr>
          <w:color w:val="000000"/>
        </w:rPr>
        <w:t>”</w:t>
      </w:r>
      <w:r>
        <w:rPr>
          <w:color w:val="000000"/>
        </w:rPr>
        <w:t xml:space="preserve"> </w:t>
      </w:r>
      <w:hyperlink r:id="rId101" w:history="1">
        <w:r>
          <w:rPr>
            <w:i/>
            <w:iCs/>
            <w:color w:val="000000"/>
          </w:rPr>
          <w:t>J &amp; W Enters., Inc. v. Economy Sales, Inc.,</w:t>
        </w:r>
        <w:r>
          <w:rPr>
            <w:color w:val="000000"/>
          </w:rPr>
          <w:t xml:space="preserve"> 486 N.W.2d 179, 181 (Minn.Ct.App.1992)</w:t>
        </w:r>
      </w:hyperlink>
      <w:r>
        <w:rPr>
          <w:color w:val="000000"/>
        </w:rPr>
        <w:t xml:space="preserve"> (emphasis in </w:t>
      </w:r>
      <w:hyperlink r:id="rId102" w:history="1">
        <w:r>
          <w:rPr>
            <w:i/>
            <w:iCs/>
            <w:color w:val="000000"/>
          </w:rPr>
          <w:t>J &amp; W Enters., Inc.</w:t>
        </w:r>
        <w:r>
          <w:rPr>
            <w:color w:val="000000"/>
          </w:rPr>
          <w:t>)</w:t>
        </w:r>
      </w:hyperlink>
      <w:r>
        <w:rPr>
          <w:color w:val="000000"/>
        </w:rPr>
        <w:t xml:space="preserve"> (quoting </w:t>
      </w:r>
      <w:hyperlink r:id="rId103" w:history="1">
        <w:r>
          <w:rPr>
            <w:i/>
            <w:iCs/>
            <w:color w:val="000000"/>
          </w:rPr>
          <w:t>Restatement (Second) of Torts</w:t>
        </w:r>
        <w:r>
          <w:rPr>
            <w:color w:val="000000"/>
          </w:rPr>
          <w:t xml:space="preserve"> § 402A</w:t>
        </w:r>
      </w:hyperlink>
      <w:r>
        <w:rPr>
          <w:color w:val="000000"/>
        </w:rPr>
        <w:t>, cmt</w:t>
      </w:r>
      <w:r>
        <w:rPr>
          <w:color w:val="000000"/>
        </w:rPr>
        <w:t xml:space="preserve">. j (1965)) (internal quotation marks omitted), failure to read a warning does not necessarily bar recovery where, as here, the plaintiff claims inadequate communication of the warning caused the failure to read it. </w:t>
      </w:r>
      <w:r>
        <w:rPr>
          <w:i/>
          <w:iCs/>
          <w:color w:val="000000"/>
        </w:rPr>
        <w:t>Cf.</w:t>
      </w:r>
      <w:r>
        <w:rPr>
          <w:color w:val="000000"/>
        </w:rPr>
        <w:t xml:space="preserve"> </w:t>
      </w:r>
      <w:hyperlink r:id="rId104" w:history="1">
        <w:r>
          <w:rPr>
            <w:i/>
            <w:iCs/>
            <w:color w:val="000000"/>
          </w:rPr>
          <w:t>Johnson v. Niagara Mach. &amp; Tool Works,</w:t>
        </w:r>
        <w:r>
          <w:rPr>
            <w:color w:val="000000"/>
          </w:rPr>
          <w:t xml:space="preserve"> 666 F.2d 1223, 1225–26 &amp; n. 3 (8th Cir.1981)</w:t>
        </w:r>
      </w:hyperlink>
      <w:r>
        <w:rPr>
          <w:color w:val="000000"/>
        </w:rPr>
        <w:t xml:space="preserve"> (applying Minnesota law on a failure to warn claim, affirming the district court’s grant of a directed verdict for the defendant because the plaintiff had no</w:t>
      </w:r>
      <w:r>
        <w:rPr>
          <w:color w:val="000000"/>
        </w:rPr>
        <w:t xml:space="preserve">t read the warning, and leaving open the possibility of a different result if the plaintiff had claimed the warning’s form was inadequate). To prove causation in a Minnesota failure to warn case, it is sufficient to present testimony that purchasers would </w:t>
      </w:r>
      <w:r>
        <w:rPr>
          <w:color w:val="000000"/>
        </w:rPr>
        <w:t xml:space="preserve">have avoided the risk of harm had they been told of the relevant danger. </w:t>
      </w:r>
      <w:r>
        <w:rPr>
          <w:i/>
          <w:iCs/>
          <w:color w:val="000000"/>
        </w:rPr>
        <w:t>See</w:t>
      </w:r>
      <w:r>
        <w:rPr>
          <w:color w:val="000000"/>
        </w:rPr>
        <w:t xml:space="preserve"> </w:t>
      </w:r>
      <w:hyperlink r:id="rId105" w:history="1">
        <w:r>
          <w:rPr>
            <w:i/>
            <w:iCs/>
            <w:color w:val="000000"/>
          </w:rPr>
          <w:t>Erickson,</w:t>
        </w:r>
        <w:r>
          <w:rPr>
            <w:color w:val="000000"/>
          </w:rPr>
          <w:t xml:space="preserve"> 455 N.W.2d at 78.</w:t>
        </w:r>
      </w:hyperlink>
      <w:r>
        <w:rPr>
          <w:color w:val="000000"/>
        </w:rPr>
        <w:t xml:space="preserve"> Because the learned intermediary doctrine applies, OMJP had a duty to warn Dr. Beecher, rather than warn</w:t>
      </w:r>
      <w:r>
        <w:rPr>
          <w:color w:val="000000"/>
        </w:rPr>
        <w:t xml:space="preserve">ing Schedin directly, </w:t>
      </w:r>
      <w:r>
        <w:rPr>
          <w:i/>
          <w:iCs/>
          <w:color w:val="000000"/>
        </w:rPr>
        <w:t>see</w:t>
      </w:r>
      <w:r>
        <w:rPr>
          <w:color w:val="000000"/>
        </w:rPr>
        <w:t xml:space="preserve"> </w:t>
      </w:r>
      <w:hyperlink r:id="rId106" w:history="1">
        <w:r>
          <w:rPr>
            <w:i/>
            <w:iCs/>
            <w:color w:val="000000"/>
          </w:rPr>
          <w:t>Mulder,</w:t>
        </w:r>
        <w:r>
          <w:rPr>
            <w:color w:val="000000"/>
          </w:rPr>
          <w:t xml:space="preserve"> 181 N.W.2d at 885 &amp; n. 1,</w:t>
        </w:r>
      </w:hyperlink>
      <w:r>
        <w:rPr>
          <w:color w:val="000000"/>
        </w:rPr>
        <w:t xml:space="preserve"> and the principle of </w:t>
      </w:r>
      <w:hyperlink r:id="rId107" w:history="1">
        <w:r>
          <w:rPr>
            <w:i/>
            <w:iCs/>
            <w:color w:val="000000"/>
          </w:rPr>
          <w:t>Erickson</w:t>
        </w:r>
      </w:hyperlink>
      <w:r>
        <w:rPr>
          <w:color w:val="000000"/>
        </w:rPr>
        <w:t xml:space="preserve"> should apply with equal force in the learned intermediary doctrine context.</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hyperlink r:id="rId108" w:history="1">
        <w:r>
          <w:rPr>
            <w:b/>
            <w:bCs/>
            <w:color w:val="000000"/>
            <w:vertAlign w:val="superscript"/>
          </w:rPr>
          <w:t>[11]</w:t>
        </w:r>
      </w:hyperlink>
      <w:bookmarkStart w:id="46" w:name="co_anchor_B112029301530_1"/>
      <w:bookmarkEnd w:id="46"/>
      <w:r>
        <w:rPr>
          <w:color w:val="000000"/>
        </w:rPr>
        <w:t xml:space="preserve"> The district court found sufficient evidence of causation, reasoning </w:t>
      </w:r>
      <w:r>
        <w:rPr>
          <w:color w:val="000000"/>
        </w:rPr>
        <w:t>“</w:t>
      </w:r>
      <w:r>
        <w:rPr>
          <w:color w:val="000000"/>
        </w:rPr>
        <w:t xml:space="preserve">the jury could infer from the fact that [Dr.] Beecher no longer prescribes </w:t>
      </w:r>
      <w:hyperlink r:id="rId109" w:history="1">
        <w:r>
          <w:rPr>
            <w:color w:val="000000"/>
          </w:rPr>
          <w:t>Levaquin</w:t>
        </w:r>
      </w:hyperlink>
      <w:r>
        <w:rPr>
          <w:color w:val="000000"/>
        </w:rPr>
        <w:t xml:space="preserve"> that </w:t>
      </w:r>
      <w:r>
        <w:rPr>
          <w:b/>
          <w:bCs/>
          <w:color w:val="000000"/>
        </w:rPr>
        <w:t>some</w:t>
      </w:r>
      <w:r>
        <w:rPr>
          <w:color w:val="000000"/>
        </w:rPr>
        <w:t xml:space="preserve"> piece of information would have altered his prescri</w:t>
      </w:r>
      <w:r>
        <w:rPr>
          <w:color w:val="000000"/>
        </w:rPr>
        <w:t>bing decision since, in fact, he has changed his prescribing patterns as a result of his increased awareness of the risks of the drug.</w:t>
      </w:r>
      <w:r>
        <w:rPr>
          <w:color w:val="000000"/>
        </w:rPr>
        <w:t>”</w:t>
      </w:r>
      <w:r>
        <w:rPr>
          <w:color w:val="000000"/>
        </w:rPr>
        <w:t xml:space="preserve"> Dr. Beecher testified he no longer prescribes </w:t>
      </w:r>
      <w:hyperlink r:id="rId110" w:history="1">
        <w:r>
          <w:rPr>
            <w:color w:val="000000"/>
          </w:rPr>
          <w:t>Levaquin</w:t>
        </w:r>
      </w:hyperlink>
      <w:r>
        <w:rPr>
          <w:color w:val="000000"/>
        </w:rPr>
        <w:t xml:space="preserve"> unless a patient requests it. Even more to the point, Dr. Beecher declared he would not have</w:t>
      </w:r>
      <w:r>
        <w:rPr>
          <w:color w:val="000000"/>
        </w:rPr>
        <w:t xml:space="preserve"> prescribed </w:t>
      </w:r>
      <w:hyperlink r:id="rId111" w:history="1">
        <w:r>
          <w:rPr>
            <w:color w:val="000000"/>
          </w:rPr>
          <w:t>Levaquin</w:t>
        </w:r>
      </w:hyperlink>
      <w:r>
        <w:rPr>
          <w:color w:val="000000"/>
        </w:rPr>
        <w:t xml:space="preserve"> for Sc</w:t>
      </w:r>
      <w:r>
        <w:rPr>
          <w:color w:val="000000"/>
        </w:rPr>
        <w:t xml:space="preserve">hedin had Dr. Beecher been aware of the 2001 warning and known what he knows now. </w:t>
      </w:r>
      <w:r>
        <w:rPr>
          <w:i/>
          <w:iCs/>
          <w:color w:val="000000"/>
        </w:rPr>
        <w:t xml:space="preserve">See </w:t>
      </w:r>
      <w:hyperlink r:id="rId112" w:history="1">
        <w:r>
          <w:rPr>
            <w:i/>
            <w:iCs/>
            <w:color w:val="000000"/>
          </w:rPr>
          <w:t>Erickson,</w:t>
        </w:r>
        <w:r>
          <w:rPr>
            <w:color w:val="000000"/>
          </w:rPr>
          <w:t xml:space="preserve"> 455 N.W.2d at 78</w:t>
        </w:r>
      </w:hyperlink>
      <w:r>
        <w:rPr>
          <w:color w:val="000000"/>
        </w:rPr>
        <w:t>.</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OMJP argues Schedin did not prove causation because Dr. Beecher spends little time with sales</w:t>
      </w:r>
      <w:r>
        <w:rPr>
          <w:color w:val="000000"/>
        </w:rPr>
        <w:t xml:space="preserve"> representatives and did not testify he read or relied on </w:t>
      </w:r>
      <w:r>
        <w:rPr>
          <w:color w:val="000000"/>
        </w:rPr>
        <w:t>“</w:t>
      </w:r>
      <w:r>
        <w:rPr>
          <w:color w:val="000000"/>
        </w:rPr>
        <w:t>Dear Doctor</w:t>
      </w:r>
      <w:r>
        <w:rPr>
          <w:color w:val="000000"/>
        </w:rPr>
        <w:t>”</w:t>
      </w:r>
      <w:r>
        <w:rPr>
          <w:color w:val="000000"/>
        </w:rPr>
        <w:t xml:space="preserve"> letters. We disagree. Dr. Beecher stated he relies on sales representatives </w:t>
      </w:r>
      <w:r>
        <w:rPr>
          <w:color w:val="000000"/>
        </w:rPr>
        <w:t>“</w:t>
      </w:r>
      <w:r>
        <w:rPr>
          <w:color w:val="000000"/>
        </w:rPr>
        <w:t>only minimally</w:t>
      </w:r>
      <w:r>
        <w:rPr>
          <w:color w:val="000000"/>
        </w:rPr>
        <w:t>”</w:t>
      </w:r>
      <w:r>
        <w:rPr>
          <w:color w:val="000000"/>
        </w:rPr>
        <w:t xml:space="preserve"> and tries </w:t>
      </w:r>
      <w:r>
        <w:rPr>
          <w:color w:val="000000"/>
        </w:rPr>
        <w:t>“</w:t>
      </w:r>
      <w:r>
        <w:rPr>
          <w:color w:val="000000"/>
        </w:rPr>
        <w:t xml:space="preserve">very hard to </w:t>
      </w:r>
      <w:bookmarkStart w:id="47" w:name="co_pp_sp_506_1169_1"/>
      <w:bookmarkEnd w:id="47"/>
      <w:r>
        <w:rPr>
          <w:b/>
          <w:bCs/>
          <w:color w:val="000000"/>
        </w:rPr>
        <w:t>*1169</w:t>
      </w:r>
      <w:r>
        <w:rPr>
          <w:color w:val="000000"/>
        </w:rPr>
        <w:t xml:space="preserve"> be objective.</w:t>
      </w:r>
      <w:r>
        <w:rPr>
          <w:color w:val="000000"/>
        </w:rPr>
        <w:t>”</w:t>
      </w:r>
      <w:r>
        <w:rPr>
          <w:color w:val="000000"/>
        </w:rPr>
        <w:t xml:space="preserve"> This rea</w:t>
      </w:r>
      <w:r>
        <w:rPr>
          <w:color w:val="000000"/>
        </w:rPr>
        <w:t>sonably can be interpreted as meaning Dr. Beecher did not rely heavily on sales representatives’ promotional efforts</w:t>
      </w:r>
      <w:r>
        <w:rPr>
          <w:color w:val="000000"/>
        </w:rPr>
        <w:t>—</w:t>
      </w:r>
      <w:r>
        <w:rPr>
          <w:color w:val="000000"/>
        </w:rPr>
        <w:t>not that he would have ignored a warning</w:t>
      </w:r>
      <w:r>
        <w:rPr>
          <w:color w:val="000000"/>
        </w:rPr>
        <w:t>—</w:t>
      </w:r>
      <w:r>
        <w:rPr>
          <w:color w:val="000000"/>
        </w:rPr>
        <w:t>especially because Dr. Beecher said he would have appreciated having more knowledge about this par</w:t>
      </w:r>
      <w:r>
        <w:rPr>
          <w:color w:val="000000"/>
        </w:rPr>
        <w:t xml:space="preserve">ticular side effect. Also, there is general study evidence indicating properly worded and highly publicized </w:t>
      </w:r>
      <w:r>
        <w:rPr>
          <w:color w:val="000000"/>
        </w:rPr>
        <w:t>“</w:t>
      </w:r>
      <w:r>
        <w:rPr>
          <w:color w:val="000000"/>
        </w:rPr>
        <w:t>Dear Doctor</w:t>
      </w:r>
      <w:r>
        <w:rPr>
          <w:color w:val="000000"/>
        </w:rPr>
        <w:t>”</w:t>
      </w:r>
      <w:r>
        <w:rPr>
          <w:color w:val="000000"/>
        </w:rPr>
        <w:t xml:space="preserve"> letters may reduce risky prescribing practices. Although Dr. Beecher did not specifically testify he relies on </w:t>
      </w:r>
      <w:r>
        <w:rPr>
          <w:color w:val="000000"/>
        </w:rPr>
        <w:t>“</w:t>
      </w:r>
      <w:r>
        <w:rPr>
          <w:color w:val="000000"/>
        </w:rPr>
        <w:t>Dear Doctor</w:t>
      </w:r>
      <w:r>
        <w:rPr>
          <w:color w:val="000000"/>
        </w:rPr>
        <w:t>”</w:t>
      </w:r>
      <w:r>
        <w:rPr>
          <w:color w:val="000000"/>
        </w:rPr>
        <w:t xml:space="preserve"> letters, </w:t>
      </w:r>
      <w:r>
        <w:rPr>
          <w:color w:val="000000"/>
        </w:rPr>
        <w:t>physicians reportedly receive and rely on information about drug warnings from such letters. Dr. Beecher did testify he relies on his colleagues’ comments about particular drugs. Although a stretch, the jury reasonably could infer Dr. Beecher would have le</w:t>
      </w:r>
      <w:r>
        <w:rPr>
          <w:color w:val="000000"/>
        </w:rPr>
        <w:t xml:space="preserve">arned about the changed warning if OMJP warned Dr. Beecher or his colleagues using sales representatives or publicized </w:t>
      </w:r>
      <w:r>
        <w:rPr>
          <w:color w:val="000000"/>
        </w:rPr>
        <w:t>“</w:t>
      </w:r>
      <w:r>
        <w:rPr>
          <w:color w:val="000000"/>
        </w:rPr>
        <w:t>Dear Doctor</w:t>
      </w:r>
      <w:r>
        <w:rPr>
          <w:color w:val="000000"/>
        </w:rPr>
        <w:t>”</w:t>
      </w:r>
      <w:r>
        <w:rPr>
          <w:color w:val="000000"/>
        </w:rPr>
        <w:t xml:space="preserve"> letters. The district court did not abuse its discretion in holding such a jury finding was not against the preponderance o</w:t>
      </w:r>
      <w:r>
        <w:rPr>
          <w:color w:val="000000"/>
        </w:rPr>
        <w:t>f the evidence.</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The district court did not err in denying OMJP’s motions for JMOL or a new trial based on the jury’s award of compensatory damages.</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bookmarkStart w:id="48" w:name="co_anchor_I16dd66d49b6011e38578f7ccc38dc"/>
      <w:bookmarkEnd w:id="48"/>
    </w:p>
    <w:p w:rsidR="00000000" w:rsidRDefault="002226BA">
      <w:pPr>
        <w:widowControl w:val="0"/>
        <w:autoSpaceDE w:val="0"/>
        <w:autoSpaceDN w:val="0"/>
        <w:adjustRightInd w:val="0"/>
        <w:spacing w:before="200"/>
        <w:jc w:val="center"/>
        <w:rPr>
          <w:b/>
          <w:bCs/>
          <w:color w:val="000000"/>
        </w:rPr>
      </w:pPr>
      <w:r>
        <w:rPr>
          <w:b/>
          <w:bCs/>
          <w:color w:val="000000"/>
        </w:rPr>
        <w:t>C. Punitive Damages</w:t>
      </w:r>
    </w:p>
    <w:p w:rsidR="00000000" w:rsidRDefault="002226BA">
      <w:pPr>
        <w:widowControl w:val="0"/>
        <w:autoSpaceDE w:val="0"/>
        <w:autoSpaceDN w:val="0"/>
        <w:adjustRightInd w:val="0"/>
        <w:jc w:val="both"/>
        <w:rPr>
          <w:color w:val="000000"/>
        </w:rPr>
      </w:pPr>
      <w:hyperlink r:id="rId113" w:history="1">
        <w:r>
          <w:rPr>
            <w:b/>
            <w:bCs/>
            <w:color w:val="000000"/>
            <w:vertAlign w:val="superscript"/>
          </w:rPr>
          <w:t>[12]</w:t>
        </w:r>
      </w:hyperlink>
      <w:bookmarkStart w:id="49" w:name="co_anchor_B122029301530_1"/>
      <w:bookmarkEnd w:id="49"/>
      <w:r>
        <w:rPr>
          <w:color w:val="000000"/>
        </w:rPr>
        <w:t xml:space="preserve"> </w:t>
      </w:r>
      <w:hyperlink r:id="rId114" w:history="1">
        <w:r>
          <w:rPr>
            <w:b/>
            <w:bCs/>
            <w:color w:val="000000"/>
            <w:vertAlign w:val="superscript"/>
          </w:rPr>
          <w:t>[13]</w:t>
        </w:r>
      </w:hyperlink>
      <w:bookmarkStart w:id="50" w:name="co_anchor_B132029301530_1"/>
      <w:bookmarkEnd w:id="50"/>
      <w:r>
        <w:rPr>
          <w:color w:val="000000"/>
        </w:rPr>
        <w:t xml:space="preserve"> Under Minnesota law, punitive damages are </w:t>
      </w:r>
      <w:r>
        <w:rPr>
          <w:color w:val="000000"/>
        </w:rPr>
        <w:t>“</w:t>
      </w:r>
      <w:r>
        <w:rPr>
          <w:color w:val="000000"/>
        </w:rPr>
        <w:t>allowed in civil actions only upon clear and convincing evidence</w:t>
      </w:r>
      <w:r>
        <w:rPr>
          <w:color w:val="000000"/>
        </w:rPr>
        <w:t>”</w:t>
      </w:r>
      <w:r>
        <w:rPr>
          <w:color w:val="000000"/>
        </w:rPr>
        <w:t xml:space="preserve"> the defendant </w:t>
      </w:r>
      <w:r>
        <w:rPr>
          <w:color w:val="000000"/>
        </w:rPr>
        <w:t>“</w:t>
      </w:r>
      <w:r>
        <w:rPr>
          <w:color w:val="000000"/>
        </w:rPr>
        <w:t>deliberate[ly] disregard[ed] ... the rights or safety of others.</w:t>
      </w:r>
      <w:r>
        <w:rPr>
          <w:color w:val="000000"/>
        </w:rPr>
        <w:t>”</w:t>
      </w:r>
      <w:r>
        <w:rPr>
          <w:color w:val="000000"/>
        </w:rPr>
        <w:t xml:space="preserve"> </w:t>
      </w:r>
      <w:hyperlink r:id="rId115" w:history="1">
        <w:r>
          <w:rPr>
            <w:color w:val="000000"/>
          </w:rPr>
          <w:t>Minn.Stat. § 549.20 subd. 1(a)</w:t>
        </w:r>
      </w:hyperlink>
      <w:r>
        <w:rPr>
          <w:color w:val="000000"/>
        </w:rPr>
        <w:t xml:space="preserve">. This means the defendant knew of </w:t>
      </w:r>
      <w:r>
        <w:rPr>
          <w:color w:val="000000"/>
        </w:rPr>
        <w:t>“</w:t>
      </w:r>
      <w:r>
        <w:rPr>
          <w:color w:val="000000"/>
        </w:rPr>
        <w:t>or inten</w:t>
      </w:r>
      <w:r>
        <w:rPr>
          <w:color w:val="000000"/>
        </w:rPr>
        <w:t>tionally disregard[ed] facts that create a high probability of injury to the rights or safety of others and ... deliberately proceed[ed] to act in conscious or intentional disregard ... or ... with indifference to</w:t>
      </w:r>
      <w:r>
        <w:rPr>
          <w:color w:val="000000"/>
        </w:rPr>
        <w:t>”</w:t>
      </w:r>
      <w:r>
        <w:rPr>
          <w:color w:val="000000"/>
        </w:rPr>
        <w:t xml:space="preserve"> that probability. </w:t>
      </w:r>
      <w:hyperlink r:id="rId116" w:history="1">
        <w:r>
          <w:rPr>
            <w:color w:val="000000"/>
          </w:rPr>
          <w:t>Minn.Stat. § 549.20 subd. 1(b)</w:t>
        </w:r>
      </w:hyperlink>
      <w:r>
        <w:rPr>
          <w:color w:val="000000"/>
        </w:rPr>
        <w:t xml:space="preserve">. Punitive damages are appropriate where the defendant </w:t>
      </w:r>
      <w:r>
        <w:rPr>
          <w:color w:val="000000"/>
        </w:rPr>
        <w:t>“</w:t>
      </w:r>
      <w:r>
        <w:rPr>
          <w:color w:val="000000"/>
        </w:rPr>
        <w:t>did not merely fail to act, but ... continued to market a product which was so mislabeled so as to mislead the public into believing that</w:t>
      </w:r>
      <w:r>
        <w:rPr>
          <w:color w:val="000000"/>
        </w:rPr>
        <w:t>”</w:t>
      </w:r>
      <w:r>
        <w:rPr>
          <w:color w:val="000000"/>
        </w:rPr>
        <w:t xml:space="preserve"> the hazard did not </w:t>
      </w:r>
      <w:r>
        <w:rPr>
          <w:color w:val="000000"/>
        </w:rPr>
        <w:t xml:space="preserve">exist. </w:t>
      </w:r>
      <w:hyperlink r:id="rId117" w:history="1">
        <w:r>
          <w:rPr>
            <w:i/>
            <w:iCs/>
            <w:color w:val="000000"/>
          </w:rPr>
          <w:t>Olson v. Snap Prods., Inc.,</w:t>
        </w:r>
        <w:r>
          <w:rPr>
            <w:color w:val="000000"/>
          </w:rPr>
          <w:t xml:space="preserve"> 29 F.Supp.2d 1027, 1039 (D.Minn.1998)</w:t>
        </w:r>
      </w:hyperlink>
      <w:r>
        <w:rPr>
          <w:color w:val="000000"/>
        </w:rPr>
        <w:t xml:space="preserve">. Punitive damages require </w:t>
      </w:r>
      <w:r>
        <w:rPr>
          <w:color w:val="000000"/>
        </w:rPr>
        <w:t>“</w:t>
      </w:r>
      <w:r>
        <w:rPr>
          <w:color w:val="000000"/>
        </w:rPr>
        <w:t>a maliciousness, an intentional or willful failure to inform or act,</w:t>
      </w:r>
      <w:r>
        <w:rPr>
          <w:color w:val="000000"/>
        </w:rPr>
        <w:t>”</w:t>
      </w:r>
      <w:r>
        <w:rPr>
          <w:color w:val="000000"/>
        </w:rPr>
        <w:t xml:space="preserve"> and are not proper where the def</w:t>
      </w:r>
      <w:r>
        <w:rPr>
          <w:color w:val="000000"/>
        </w:rPr>
        <w:t xml:space="preserve">endant </w:t>
      </w:r>
      <w:r>
        <w:rPr>
          <w:color w:val="000000"/>
        </w:rPr>
        <w:t>“</w:t>
      </w:r>
      <w:r>
        <w:rPr>
          <w:color w:val="000000"/>
        </w:rPr>
        <w:t>actively sought ways to prevent the dangers associated with its product.</w:t>
      </w:r>
      <w:r>
        <w:rPr>
          <w:color w:val="000000"/>
        </w:rPr>
        <w:t>”</w:t>
      </w:r>
      <w:r>
        <w:rPr>
          <w:color w:val="000000"/>
        </w:rPr>
        <w:t xml:space="preserve"> </w:t>
      </w:r>
      <w:hyperlink r:id="rId118" w:history="1">
        <w:r>
          <w:rPr>
            <w:i/>
            <w:iCs/>
            <w:color w:val="000000"/>
          </w:rPr>
          <w:t>Beniek v. Textron, Inc.,</w:t>
        </w:r>
        <w:r>
          <w:rPr>
            <w:color w:val="000000"/>
          </w:rPr>
          <w:t xml:space="preserve"> 479 N.W.2d 719, 723 (Minn.Ct.App.1992)</w:t>
        </w:r>
      </w:hyperlink>
      <w:r>
        <w:rPr>
          <w:color w:val="000000"/>
        </w:rPr>
        <w:t>.</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hyperlink r:id="rId119" w:history="1">
        <w:r>
          <w:rPr>
            <w:b/>
            <w:bCs/>
            <w:color w:val="000000"/>
            <w:vertAlign w:val="superscript"/>
          </w:rPr>
          <w:t>[14]</w:t>
        </w:r>
      </w:hyperlink>
      <w:bookmarkStart w:id="51" w:name="co_anchor_B142029301530_1"/>
      <w:bookmarkEnd w:id="51"/>
      <w:r>
        <w:rPr>
          <w:color w:val="000000"/>
        </w:rPr>
        <w:t xml:space="preserve"> The district court upheld the jury’s award of punitive damages because of evidence OMJP </w:t>
      </w:r>
      <w:r>
        <w:rPr>
          <w:color w:val="000000"/>
        </w:rPr>
        <w:t>“</w:t>
      </w:r>
      <w:r>
        <w:rPr>
          <w:color w:val="000000"/>
        </w:rPr>
        <w:t xml:space="preserve">knew of the potential for the higher tendon toxicity of </w:t>
      </w:r>
      <w:hyperlink r:id="rId120" w:history="1">
        <w:r>
          <w:rPr>
            <w:color w:val="000000"/>
          </w:rPr>
          <w:t>Levaquin</w:t>
        </w:r>
      </w:hyperlink>
      <w:r>
        <w:rPr>
          <w:color w:val="000000"/>
        </w:rPr>
        <w:t xml:space="preserve">, assisted in the design of [the Ingenix study,] allegedly to hide that potential </w:t>
      </w:r>
      <w:r>
        <w:rPr>
          <w:color w:val="000000"/>
        </w:rPr>
        <w:t>and cloud the field of academic literature on the topic, and then failed to adequately warn prescribers.</w:t>
      </w:r>
      <w:r>
        <w:rPr>
          <w:color w:val="000000"/>
        </w:rPr>
        <w:t>”</w:t>
      </w:r>
      <w:r>
        <w:rPr>
          <w:color w:val="000000"/>
        </w:rPr>
        <w:t xml:space="preserve"> (internal citations omitted). On this record, this motive allegation is mere speculation.</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sz w:val="16"/>
          <w:szCs w:val="16"/>
        </w:rPr>
      </w:pPr>
      <w:r>
        <w:rPr>
          <w:color w:val="000000"/>
        </w:rPr>
        <w:t>As a matter of law, the record evidence failed to establis</w:t>
      </w:r>
      <w:r>
        <w:rPr>
          <w:color w:val="000000"/>
        </w:rPr>
        <w:t xml:space="preserve">h OMJP deliberately disregarded the risk of </w:t>
      </w:r>
      <w:hyperlink r:id="rId121" w:history="1">
        <w:r>
          <w:rPr>
            <w:color w:val="000000"/>
          </w:rPr>
          <w:t>tendon injuries</w:t>
        </w:r>
      </w:hyperlink>
      <w:r>
        <w:rPr>
          <w:color w:val="000000"/>
        </w:rPr>
        <w:t xml:space="preserve"> in elderly patients taking corticosteroids, as required for punitive damages under Minnesota law. By warning of that risk in its package insert, OMJP </w:t>
      </w:r>
      <w:r>
        <w:rPr>
          <w:color w:val="000000"/>
        </w:rPr>
        <w:t>“</w:t>
      </w:r>
      <w:r>
        <w:rPr>
          <w:color w:val="000000"/>
        </w:rPr>
        <w:t>actively sought ways to prevent the dangers associated with its product</w:t>
      </w:r>
      <w:r>
        <w:rPr>
          <w:color w:val="000000"/>
        </w:rPr>
        <w:t>.</w:t>
      </w:r>
      <w:r>
        <w:rPr>
          <w:color w:val="000000"/>
        </w:rPr>
        <w:t>”</w:t>
      </w:r>
      <w:r>
        <w:rPr>
          <w:color w:val="000000"/>
        </w:rPr>
        <w:t xml:space="preserve"> </w:t>
      </w:r>
      <w:hyperlink r:id="rId122" w:history="1">
        <w:r>
          <w:rPr>
            <w:i/>
            <w:iCs/>
            <w:color w:val="000000"/>
          </w:rPr>
          <w:t>Beniek,</w:t>
        </w:r>
        <w:r>
          <w:rPr>
            <w:color w:val="000000"/>
          </w:rPr>
          <w:t xml:space="preserve"> 479 N.W.2d at 723.</w:t>
        </w:r>
      </w:hyperlink>
      <w:r>
        <w:rPr>
          <w:color w:val="000000"/>
        </w:rPr>
        <w:t xml:space="preserve"> The 2001 warning also was published in the PDR, a reference widely used by physicians. Regardless of OMJP’s alleged actions relating to the Ingenix study, we cannot characterize</w:t>
      </w:r>
      <w:r>
        <w:rPr>
          <w:color w:val="000000"/>
        </w:rPr>
        <w:t xml:space="preserve"> OMJP as hiding information it openly published. The 2001 warning was in Dr. Beecher’s physical possession and was specific and clear if read. For drug warnings to succeed in protecting patients, doctors must order their practice and their continuing medic</w:t>
      </w:r>
      <w:r>
        <w:rPr>
          <w:color w:val="000000"/>
        </w:rPr>
        <w:t xml:space="preserve">al education so as to find time to learn about new </w:t>
      </w:r>
      <w:bookmarkStart w:id="52" w:name="co_pp_sp_506_1170_1"/>
      <w:bookmarkEnd w:id="52"/>
      <w:r>
        <w:rPr>
          <w:b/>
          <w:bCs/>
          <w:color w:val="000000"/>
        </w:rPr>
        <w:t>*1170</w:t>
      </w:r>
      <w:r>
        <w:rPr>
          <w:color w:val="000000"/>
        </w:rPr>
        <w:t xml:space="preserve"> and updated warnings for the drugs the doctor is prescribing.</w:t>
      </w:r>
      <w:bookmarkStart w:id="53" w:name="co_footnoteReference_B00872029301530_ID0"/>
      <w:bookmarkEnd w:id="53"/>
      <w:r>
        <w:rPr>
          <w:color w:val="000000"/>
          <w:sz w:val="16"/>
          <w:szCs w:val="16"/>
        </w:rPr>
        <w:fldChar w:fldCharType="begin"/>
      </w:r>
      <w:r>
        <w:rPr>
          <w:color w:val="000000"/>
          <w:sz w:val="16"/>
          <w:szCs w:val="16"/>
        </w:rPr>
        <w:instrText>HYPERLINK</w:instrText>
      </w:r>
      <w:r>
        <w:rPr>
          <w:color w:val="000000"/>
          <w:sz w:val="16"/>
          <w:szCs w:val="16"/>
        </w:rPr>
        <w:instrText xml:space="preserve"> "#co_footn</w:instrText>
      </w:r>
      <w:r>
        <w:rPr>
          <w:color w:val="000000"/>
          <w:sz w:val="16"/>
          <w:szCs w:val="16"/>
        </w:rPr>
        <w:instrText xml:space="preserve">ote_B00872029301530_1" </w:instrText>
      </w:r>
      <w:r>
        <w:rPr>
          <w:color w:val="000000"/>
          <w:sz w:val="16"/>
          <w:szCs w:val="16"/>
        </w:rPr>
      </w:r>
      <w:r>
        <w:rPr>
          <w:color w:val="000000"/>
          <w:sz w:val="16"/>
          <w:szCs w:val="16"/>
        </w:rPr>
        <w:fldChar w:fldCharType="separate"/>
      </w:r>
      <w:r>
        <w:rPr>
          <w:color w:val="000000"/>
          <w:sz w:val="16"/>
          <w:szCs w:val="16"/>
          <w:vertAlign w:val="superscript"/>
        </w:rPr>
        <w:t>7</w:t>
      </w:r>
      <w:r>
        <w:rPr>
          <w:color w:val="000000"/>
          <w:sz w:val="16"/>
          <w:szCs w:val="16"/>
        </w:rPr>
        <w:fldChar w:fldCharType="end"/>
      </w:r>
    </w:p>
    <w:p w:rsidR="00000000" w:rsidRDefault="002226BA">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54" w:name="co_footnote_B00872029301530_1"/>
          <w:bookmarkEnd w:id="54"/>
          <w:p w:rsidR="00000000" w:rsidRDefault="002226BA">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"#co_footnoteReference_B00872029301530_ID0" </w:instrText>
            </w:r>
            <w:r>
              <w:rPr>
                <w:color w:val="000000"/>
              </w:rPr>
            </w:r>
            <w:r>
              <w:rPr>
                <w:color w:val="000000"/>
              </w:rPr>
              <w:fldChar w:fldCharType="separate"/>
            </w:r>
            <w:r>
              <w:rPr>
                <w:color w:val="000000"/>
                <w:vertAlign w:val="superscript"/>
              </w:rPr>
              <w:t>7</w:t>
            </w:r>
            <w:r>
              <w:rPr>
                <w:color w:val="000000"/>
              </w:rPr>
              <w:fldChar w:fldCharType="end"/>
            </w:r>
          </w:p>
          <w:p w:rsidR="00000000" w:rsidRDefault="002226BA">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26BA">
            <w:pPr>
              <w:widowControl w:val="0"/>
              <w:autoSpaceDE w:val="0"/>
              <w:autoSpaceDN w:val="0"/>
              <w:adjustRightInd w:val="0"/>
              <w:jc w:val="both"/>
              <w:rPr>
                <w:color w:val="000000"/>
                <w:sz w:val="18"/>
                <w:szCs w:val="18"/>
              </w:rPr>
            </w:pPr>
            <w:r>
              <w:rPr>
                <w:color w:val="000000"/>
                <w:sz w:val="18"/>
                <w:szCs w:val="18"/>
              </w:rPr>
              <w:t xml:space="preserve">Schedin was in Dr. Beecher’s care, according to Dr. Beecher, for </w:t>
            </w:r>
            <w:r>
              <w:rPr>
                <w:color w:val="000000"/>
                <w:sz w:val="18"/>
                <w:szCs w:val="18"/>
              </w:rPr>
              <w:t>“</w:t>
            </w:r>
            <w:r>
              <w:rPr>
                <w:color w:val="000000"/>
                <w:sz w:val="18"/>
                <w:szCs w:val="18"/>
              </w:rPr>
              <w:t>15 minutes tops.</w:t>
            </w:r>
            <w:r>
              <w:rPr>
                <w:color w:val="000000"/>
                <w:sz w:val="18"/>
                <w:szCs w:val="18"/>
              </w:rPr>
              <w:t>”</w:t>
            </w:r>
          </w:p>
          <w:p w:rsidR="00000000" w:rsidRDefault="002226BA">
            <w:pPr>
              <w:widowControl w:val="0"/>
              <w:autoSpaceDE w:val="0"/>
              <w:autoSpaceDN w:val="0"/>
              <w:adjustRightInd w:val="0"/>
              <w:jc w:val="both"/>
              <w:rPr>
                <w:color w:val="000000"/>
                <w:sz w:val="18"/>
                <w:szCs w:val="18"/>
              </w:rPr>
            </w:pPr>
          </w:p>
        </w:tc>
      </w:tr>
    </w:tbl>
    <w:p w:rsidR="00000000" w:rsidRDefault="002226BA">
      <w:pPr>
        <w:widowControl w:val="0"/>
        <w:autoSpaceDE w:val="0"/>
        <w:autoSpaceDN w:val="0"/>
        <w:adjustRightInd w:val="0"/>
        <w:jc w:val="both"/>
        <w:rPr>
          <w:color w:val="000000"/>
        </w:rPr>
      </w:pPr>
    </w:p>
    <w:p w:rsidR="00000000" w:rsidRDefault="002226BA">
      <w:pPr>
        <w:widowControl w:val="0"/>
        <w:autoSpaceDE w:val="0"/>
        <w:autoSpaceDN w:val="0"/>
        <w:adjustRightInd w:val="0"/>
        <w:jc w:val="both"/>
        <w:rPr>
          <w:color w:val="000000"/>
          <w:sz w:val="16"/>
          <w:szCs w:val="16"/>
        </w:rPr>
      </w:pPr>
      <w:r>
        <w:rPr>
          <w:color w:val="000000"/>
        </w:rPr>
        <w:t xml:space="preserve">The evidence is neither clear nor convincing, as a matter of law, that OMJP deliberately disregarded the safety of the users of </w:t>
      </w:r>
      <w:hyperlink r:id="rId123" w:history="1">
        <w:r>
          <w:rPr>
            <w:color w:val="000000"/>
          </w:rPr>
          <w:t>Levaquin</w:t>
        </w:r>
      </w:hyperlink>
      <w:r>
        <w:rPr>
          <w:color w:val="000000"/>
        </w:rPr>
        <w:t>. The district court erred in denying JMOL for OMJP on punitive damages.</w:t>
      </w:r>
      <w:bookmarkStart w:id="55" w:name="co_footnoteReference_B00982029301530_ID0"/>
      <w:bookmarkEnd w:id="55"/>
      <w:r>
        <w:rPr>
          <w:color w:val="000000"/>
          <w:sz w:val="16"/>
          <w:szCs w:val="16"/>
        </w:rPr>
        <w:fldChar w:fldCharType="begin"/>
      </w:r>
      <w:r>
        <w:rPr>
          <w:color w:val="000000"/>
          <w:sz w:val="16"/>
          <w:szCs w:val="16"/>
        </w:rPr>
        <w:instrText>HYPERLINK</w:instrText>
      </w:r>
      <w:r>
        <w:rPr>
          <w:color w:val="000000"/>
          <w:sz w:val="16"/>
          <w:szCs w:val="16"/>
        </w:rPr>
        <w:instrText xml:space="preserve"> "#co_footnote_B00982029301530_1" </w:instrText>
      </w:r>
      <w:r>
        <w:rPr>
          <w:color w:val="000000"/>
          <w:sz w:val="16"/>
          <w:szCs w:val="16"/>
        </w:rPr>
      </w:r>
      <w:r>
        <w:rPr>
          <w:color w:val="000000"/>
          <w:sz w:val="16"/>
          <w:szCs w:val="16"/>
        </w:rPr>
        <w:fldChar w:fldCharType="separate"/>
      </w:r>
      <w:r>
        <w:rPr>
          <w:color w:val="000000"/>
          <w:sz w:val="16"/>
          <w:szCs w:val="16"/>
          <w:vertAlign w:val="superscript"/>
        </w:rPr>
        <w:t>8</w:t>
      </w:r>
      <w:r>
        <w:rPr>
          <w:color w:val="000000"/>
          <w:sz w:val="16"/>
          <w:szCs w:val="16"/>
        </w:rPr>
        <w:fldChar w:fldCharType="end"/>
      </w:r>
    </w:p>
    <w:p w:rsidR="00000000" w:rsidRDefault="002226BA">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56" w:name="co_footnote_B00982029301530_1"/>
          <w:bookmarkEnd w:id="56"/>
          <w:p w:rsidR="00000000" w:rsidRDefault="002226BA">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"#co_footnoteReference_B00982029301530_ID0" </w:instrText>
            </w:r>
            <w:r>
              <w:rPr>
                <w:color w:val="000000"/>
              </w:rPr>
            </w:r>
            <w:r>
              <w:rPr>
                <w:color w:val="000000"/>
              </w:rPr>
              <w:fldChar w:fldCharType="separate"/>
            </w:r>
            <w:r>
              <w:rPr>
                <w:color w:val="000000"/>
                <w:vertAlign w:val="superscript"/>
              </w:rPr>
              <w:t>8</w:t>
            </w:r>
            <w:r>
              <w:rPr>
                <w:color w:val="000000"/>
              </w:rPr>
              <w:fldChar w:fldCharType="end"/>
            </w:r>
          </w:p>
          <w:p w:rsidR="00000000" w:rsidRDefault="002226BA">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26BA">
            <w:pPr>
              <w:widowControl w:val="0"/>
              <w:autoSpaceDE w:val="0"/>
              <w:autoSpaceDN w:val="0"/>
              <w:adjustRightInd w:val="0"/>
              <w:jc w:val="both"/>
              <w:rPr>
                <w:color w:val="000000"/>
                <w:sz w:val="18"/>
                <w:szCs w:val="18"/>
              </w:rPr>
            </w:pPr>
            <w:r>
              <w:rPr>
                <w:color w:val="000000"/>
                <w:sz w:val="18"/>
                <w:szCs w:val="18"/>
              </w:rPr>
              <w:t xml:space="preserve">We therefore do not reach OMJP’s arguments for a new trial based </w:t>
            </w:r>
            <w:r>
              <w:rPr>
                <w:color w:val="000000"/>
                <w:sz w:val="18"/>
                <w:szCs w:val="18"/>
              </w:rPr>
              <w:t>on errors relating to Schedin’s punitive damages claim.</w:t>
            </w:r>
          </w:p>
          <w:p w:rsidR="00000000" w:rsidRDefault="002226BA">
            <w:pPr>
              <w:widowControl w:val="0"/>
              <w:autoSpaceDE w:val="0"/>
              <w:autoSpaceDN w:val="0"/>
              <w:adjustRightInd w:val="0"/>
              <w:jc w:val="both"/>
              <w:rPr>
                <w:color w:val="000000"/>
                <w:sz w:val="18"/>
                <w:szCs w:val="18"/>
              </w:rPr>
            </w:pPr>
          </w:p>
        </w:tc>
      </w:tr>
    </w:tbl>
    <w:p w:rsidR="00000000" w:rsidRDefault="002226BA">
      <w:pPr>
        <w:widowControl w:val="0"/>
        <w:autoSpaceDE w:val="0"/>
        <w:autoSpaceDN w:val="0"/>
        <w:adjustRightInd w:val="0"/>
        <w:jc w:val="both"/>
        <w:rPr>
          <w:color w:val="000000"/>
        </w:rPr>
      </w:pPr>
    </w:p>
    <w:p w:rsidR="00000000" w:rsidRDefault="002226BA">
      <w:pPr>
        <w:widowControl w:val="0"/>
        <w:autoSpaceDE w:val="0"/>
        <w:autoSpaceDN w:val="0"/>
        <w:adjustRightInd w:val="0"/>
        <w:jc w:val="both"/>
        <w:rPr>
          <w:color w:val="000000"/>
        </w:rPr>
      </w:pPr>
      <w:bookmarkStart w:id="57" w:name="co_anchor_I16dd66d59b6011e38578f7ccc38dc"/>
      <w:bookmarkEnd w:id="57"/>
    </w:p>
    <w:p w:rsidR="00000000" w:rsidRDefault="002226BA">
      <w:pPr>
        <w:widowControl w:val="0"/>
        <w:autoSpaceDE w:val="0"/>
        <w:autoSpaceDN w:val="0"/>
        <w:adjustRightInd w:val="0"/>
        <w:spacing w:before="200"/>
        <w:jc w:val="center"/>
        <w:rPr>
          <w:b/>
          <w:bCs/>
          <w:color w:val="000000"/>
        </w:rPr>
      </w:pPr>
      <w:r>
        <w:rPr>
          <w:b/>
          <w:bCs/>
          <w:color w:val="000000"/>
        </w:rPr>
        <w:t>III. CONCLUSION</w:t>
      </w:r>
    </w:p>
    <w:p w:rsidR="00000000" w:rsidRDefault="002226BA">
      <w:pPr>
        <w:widowControl w:val="0"/>
        <w:autoSpaceDE w:val="0"/>
        <w:autoSpaceDN w:val="0"/>
        <w:adjustRightInd w:val="0"/>
        <w:jc w:val="both"/>
        <w:rPr>
          <w:color w:val="000000"/>
        </w:rPr>
      </w:pPr>
      <w:r>
        <w:rPr>
          <w:color w:val="000000"/>
        </w:rPr>
        <w:t>We affirm in part and reverse in part. We affirm the district court’s denial of OMJP’s motions for J</w:t>
      </w:r>
      <w:r>
        <w:rPr>
          <w:color w:val="000000"/>
        </w:rPr>
        <w:t>MOL or a new trial on Schedin’s claim for compensatory damages, and reverse the denial of OMJP’s motion for JMOL on punitive damages.</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b/>
          <w:bCs/>
          <w:color w:val="212121"/>
        </w:rPr>
      </w:pPr>
      <w:bookmarkStart w:id="58" w:name="co_cipdip_opinion_1"/>
      <w:bookmarkEnd w:id="58"/>
    </w:p>
    <w:p w:rsidR="00000000" w:rsidRDefault="002226BA">
      <w:pPr>
        <w:widowControl w:val="0"/>
        <w:autoSpaceDE w:val="0"/>
        <w:autoSpaceDN w:val="0"/>
        <w:adjustRightInd w:val="0"/>
        <w:spacing w:before="400"/>
        <w:jc w:val="both"/>
        <w:rPr>
          <w:color w:val="000000"/>
        </w:rPr>
      </w:pPr>
      <w:hyperlink r:id="rId124" w:history="1">
        <w:r>
          <w:rPr>
            <w:color w:val="000000"/>
          </w:rPr>
          <w:t>BYE</w:t>
        </w:r>
      </w:hyperlink>
      <w:r>
        <w:rPr>
          <w:color w:val="000000"/>
        </w:rPr>
        <w:t>, Circuit Judge, concurring in part and dissenting in part.</w:t>
      </w:r>
    </w:p>
    <w:p w:rsidR="00000000" w:rsidRDefault="002226BA">
      <w:pPr>
        <w:widowControl w:val="0"/>
        <w:autoSpaceDE w:val="0"/>
        <w:autoSpaceDN w:val="0"/>
        <w:adjustRightInd w:val="0"/>
        <w:jc w:val="both"/>
        <w:rPr>
          <w:color w:val="000000"/>
        </w:rPr>
      </w:pPr>
      <w:bookmarkStart w:id="59" w:name="co_anchor_I16dd66da9b6011e38578f7ccc38dc"/>
      <w:bookmarkEnd w:id="59"/>
    </w:p>
    <w:p w:rsidR="00000000" w:rsidRDefault="002226BA">
      <w:pPr>
        <w:widowControl w:val="0"/>
        <w:autoSpaceDE w:val="0"/>
        <w:autoSpaceDN w:val="0"/>
        <w:adjustRightInd w:val="0"/>
        <w:jc w:val="both"/>
        <w:rPr>
          <w:color w:val="000000"/>
        </w:rPr>
      </w:pPr>
      <w:r>
        <w:rPr>
          <w:color w:val="000000"/>
        </w:rPr>
        <w:t>I concur in affirming the district court’s decision to deny OMJP’s motions for judgment as a matter of law and for a new trial with respect to the jury’</w:t>
      </w:r>
      <w:r>
        <w:rPr>
          <w:color w:val="000000"/>
        </w:rPr>
        <w:t xml:space="preserve">s award of compensatory damages. I believe, however, there was sufficient evidence from which a reasonable jury could conclude OMJP deliberately disregarded the risk of </w:t>
      </w:r>
      <w:hyperlink r:id="rId125" w:history="1">
        <w:r>
          <w:rPr>
            <w:color w:val="000000"/>
          </w:rPr>
          <w:t>tendon injuries</w:t>
        </w:r>
      </w:hyperlink>
      <w:r>
        <w:rPr>
          <w:color w:val="000000"/>
        </w:rPr>
        <w:t xml:space="preserve"> in elderly patients who were prescribed </w:t>
      </w:r>
      <w:hyperlink r:id="rId126" w:history="1">
        <w:r>
          <w:rPr>
            <w:color w:val="000000"/>
          </w:rPr>
          <w:t>Levaquin</w:t>
        </w:r>
      </w:hyperlink>
      <w:r>
        <w:rPr>
          <w:color w:val="000000"/>
        </w:rPr>
        <w:t xml:space="preserve"> in association with corticosteroids. I therefore respectfully dissent from </w:t>
      </w:r>
      <w:r>
        <w:rPr>
          <w:color w:val="000000"/>
        </w:rPr>
        <w:t>the decision to reverse the denial of OMJP’s motion for judgment as a matter of law on punitive damages.</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 xml:space="preserve">When reviewing the district court’s denial of the motion for judgment as a matter of law on punitive damages, we </w:t>
      </w:r>
      <w:r>
        <w:rPr>
          <w:color w:val="000000"/>
        </w:rPr>
        <w:t>“</w:t>
      </w:r>
      <w:r>
        <w:rPr>
          <w:color w:val="000000"/>
        </w:rPr>
        <w:t>must draw all reasonable inferences</w:t>
      </w:r>
      <w:r>
        <w:rPr>
          <w:color w:val="000000"/>
        </w:rPr>
        <w:t xml:space="preserve"> in favor of the nonmoving party, and ... may not make credibility determinations or weigh the evidence.</w:t>
      </w:r>
      <w:r>
        <w:rPr>
          <w:color w:val="000000"/>
        </w:rPr>
        <w:t>”</w:t>
      </w:r>
      <w:r>
        <w:rPr>
          <w:color w:val="000000"/>
        </w:rPr>
        <w:t xml:space="preserve"> </w:t>
      </w:r>
      <w:hyperlink r:id="rId127" w:history="1">
        <w:r>
          <w:rPr>
            <w:i/>
            <w:iCs/>
            <w:color w:val="000000"/>
          </w:rPr>
          <w:t>Reeves v. Sanderson Plumbing Prods., Inc.,</w:t>
        </w:r>
        <w:r>
          <w:rPr>
            <w:color w:val="000000"/>
          </w:rPr>
          <w:t xml:space="preserve"> 530 U.S. 133, 150, 120 S.Ct. 2097, 147 L.Ed.2d 105 (2000)</w:t>
        </w:r>
      </w:hyperlink>
      <w:r>
        <w:rPr>
          <w:color w:val="000000"/>
        </w:rPr>
        <w:t xml:space="preserve">. </w:t>
      </w:r>
      <w:r>
        <w:rPr>
          <w:color w:val="000000"/>
        </w:rPr>
        <w:t>“</w:t>
      </w:r>
      <w:r>
        <w:rPr>
          <w:color w:val="000000"/>
        </w:rPr>
        <w:t>Judgment as a matter of law is appropriate only when all of the evidence points one way and is susceptible of no reasonable inference sustaining the position of the nonmoving party.</w:t>
      </w:r>
      <w:r>
        <w:rPr>
          <w:color w:val="000000"/>
        </w:rPr>
        <w:t>”</w:t>
      </w:r>
      <w:r>
        <w:rPr>
          <w:color w:val="000000"/>
        </w:rPr>
        <w:t xml:space="preserve"> </w:t>
      </w:r>
      <w:hyperlink r:id="rId128" w:history="1">
        <w:r>
          <w:rPr>
            <w:i/>
            <w:iCs/>
            <w:color w:val="000000"/>
          </w:rPr>
          <w:t>Howard v. Mo. Bone &amp; Joint Ctr., Inc</w:t>
        </w:r>
        <w:r>
          <w:rPr>
            <w:i/>
            <w:iCs/>
            <w:color w:val="000000"/>
          </w:rPr>
          <w:t>.,</w:t>
        </w:r>
        <w:r>
          <w:rPr>
            <w:color w:val="000000"/>
          </w:rPr>
          <w:t xml:space="preserve"> 615 F.3d 991, 995 (8th Cir.2010)</w:t>
        </w:r>
      </w:hyperlink>
      <w:r>
        <w:rPr>
          <w:color w:val="000000"/>
        </w:rPr>
        <w:t xml:space="preserve"> (internal quotation marks and citation omitted).</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 xml:space="preserve">In denying OMJP’s motion for judgment as a matter of law, the district court emphasized three points: (1) OMJP’s knowledge of </w:t>
      </w:r>
      <w:hyperlink r:id="rId129" w:history="1">
        <w:r>
          <w:rPr>
            <w:color w:val="000000"/>
          </w:rPr>
          <w:t>Levaquin’s</w:t>
        </w:r>
      </w:hyperlink>
      <w:r>
        <w:rPr>
          <w:color w:val="000000"/>
        </w:rPr>
        <w:t xml:space="preserve"> potential for higher tendon toxicity; (2) OMJP’</w:t>
      </w:r>
      <w:r>
        <w:rPr>
          <w:color w:val="000000"/>
        </w:rPr>
        <w:t xml:space="preserve">s assistance in the design of the Ingenix study with the motive to cloud the field of academic literature on the topic of </w:t>
      </w:r>
      <w:hyperlink r:id="rId130" w:history="1">
        <w:r>
          <w:rPr>
            <w:color w:val="000000"/>
          </w:rPr>
          <w:t>Levaquin’s</w:t>
        </w:r>
      </w:hyperlink>
      <w:r>
        <w:rPr>
          <w:color w:val="000000"/>
        </w:rPr>
        <w:t xml:space="preserve"> potential for higher tendon toxicity; and (3) OMJP’s failure to adequately warn prescribers of </w:t>
      </w:r>
      <w:hyperlink r:id="rId131" w:history="1">
        <w:r>
          <w:rPr>
            <w:color w:val="000000"/>
          </w:rPr>
          <w:t>Levaquin’s</w:t>
        </w:r>
      </w:hyperlink>
      <w:r>
        <w:rPr>
          <w:color w:val="000000"/>
        </w:rPr>
        <w:t xml:space="preserve"> potential for higher tendon toxicity. </w:t>
      </w:r>
      <w:r>
        <w:rPr>
          <w:i/>
          <w:iCs/>
          <w:color w:val="000000"/>
        </w:rPr>
        <w:t xml:space="preserve">See </w:t>
      </w:r>
      <w:hyperlink r:id="rId132" w:history="1">
        <w:r>
          <w:rPr>
            <w:i/>
            <w:iCs/>
            <w:color w:val="000000"/>
          </w:rPr>
          <w:t>Schedin v. Ortho–McNeil–Janssen Pharm., Inc.,</w:t>
        </w:r>
        <w:r>
          <w:rPr>
            <w:color w:val="000000"/>
          </w:rPr>
          <w:t xml:space="preserve"> 808 F.Supp.2d 1125, 1137 (D.Minn.2011)</w:t>
        </w:r>
      </w:hyperlink>
      <w:r>
        <w:rPr>
          <w:color w:val="000000"/>
        </w:rPr>
        <w:t xml:space="preserve">. In reversing the district court, the majority cryptically states </w:t>
      </w:r>
      <w:r>
        <w:rPr>
          <w:color w:val="000000"/>
        </w:rPr>
        <w:t>“</w:t>
      </w:r>
      <w:r>
        <w:rPr>
          <w:color w:val="000000"/>
        </w:rPr>
        <w:t>this motive allegation is mere speculation,</w:t>
      </w:r>
      <w:r>
        <w:rPr>
          <w:color w:val="000000"/>
        </w:rPr>
        <w:t>”</w:t>
      </w:r>
      <w:r>
        <w:rPr>
          <w:color w:val="000000"/>
        </w:rPr>
        <w:t xml:space="preserve"> </w:t>
      </w:r>
      <w:r>
        <w:rPr>
          <w:i/>
          <w:iCs/>
          <w:color w:val="000000"/>
        </w:rPr>
        <w:t>ante</w:t>
      </w:r>
      <w:r>
        <w:rPr>
          <w:color w:val="000000"/>
        </w:rPr>
        <w:t xml:space="preserve"> at 1169, presumably disagreei</w:t>
      </w:r>
      <w:r>
        <w:rPr>
          <w:color w:val="000000"/>
        </w:rPr>
        <w:t>ng with the district court’s second point.</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The punitive damage award should not, however, rise or fall on whether the jury reasonably found OMJP manipulated the Ingenix study. Even assuming the jury rejected Schedin’s allegations regarding the Ingenix st</w:t>
      </w:r>
      <w:r>
        <w:rPr>
          <w:color w:val="000000"/>
        </w:rPr>
        <w:t xml:space="preserve">udy, the evidence was more than sufficient to allow a reasonable jury to infer that OMJP deliberately acted with indifference to a high degree of probability of injury, </w:t>
      </w:r>
      <w:r>
        <w:rPr>
          <w:i/>
          <w:iCs/>
          <w:color w:val="000000"/>
        </w:rPr>
        <w:t>see</w:t>
      </w:r>
      <w:r>
        <w:rPr>
          <w:color w:val="000000"/>
        </w:rPr>
        <w:t xml:space="preserve"> </w:t>
      </w:r>
      <w:hyperlink r:id="rId133" w:history="1">
        <w:r>
          <w:rPr>
            <w:color w:val="000000"/>
          </w:rPr>
          <w:t>Minn.Stat. § 549.20(1)</w:t>
        </w:r>
      </w:hyperlink>
      <w:r>
        <w:rPr>
          <w:color w:val="000000"/>
        </w:rPr>
        <w:t>, based on (1) OMJP’s knowledge of the serious</w:t>
      </w:r>
      <w:r>
        <w:rPr>
          <w:color w:val="000000"/>
        </w:rPr>
        <w:t xml:space="preserve"> risks associated with </w:t>
      </w:r>
      <w:hyperlink r:id="rId134" w:history="1">
        <w:r>
          <w:rPr>
            <w:color w:val="000000"/>
          </w:rPr>
          <w:t>Levaquin’s</w:t>
        </w:r>
      </w:hyperlink>
      <w:r>
        <w:rPr>
          <w:color w:val="000000"/>
        </w:rPr>
        <w:t xml:space="preserve"> potential for higher tendon toxicity when prescribed to elderly patients in conjunction with corticosteroids, and (2) OMJP deliberately choosing a course of action whereby physicians </w:t>
      </w:r>
      <w:bookmarkStart w:id="60" w:name="co_pp_sp_506_1171_1"/>
      <w:bookmarkEnd w:id="60"/>
      <w:r>
        <w:rPr>
          <w:b/>
          <w:bCs/>
          <w:color w:val="000000"/>
        </w:rPr>
        <w:t>*1171</w:t>
      </w:r>
      <w:r>
        <w:rPr>
          <w:color w:val="000000"/>
        </w:rPr>
        <w:t xml:space="preserve"> would not be adequatel</w:t>
      </w:r>
      <w:r>
        <w:rPr>
          <w:color w:val="000000"/>
        </w:rPr>
        <w:t>y apprised of the increased risk.</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 xml:space="preserve">Schedin presented evidence from which a jury could reasonably infer OMJP was more concerned about its profits, and how those profits would be affected by effective warnings, than it was about the possibility </w:t>
      </w:r>
      <w:hyperlink r:id="rId135" w:history="1">
        <w:r>
          <w:rPr>
            <w:color w:val="000000"/>
          </w:rPr>
          <w:t>Levaquin</w:t>
        </w:r>
      </w:hyperlink>
      <w:r>
        <w:rPr>
          <w:color w:val="000000"/>
        </w:rPr>
        <w:t xml:space="preserve"> could injure elderly patients </w:t>
      </w:r>
      <w:r>
        <w:rPr>
          <w:color w:val="000000"/>
        </w:rPr>
        <w:t xml:space="preserve">who were prescribed the drug in association with corticosteroids. As early as 1999, OMJP was aware of an increased risk of </w:t>
      </w:r>
      <w:hyperlink r:id="rId136" w:history="1">
        <w:r>
          <w:rPr>
            <w:color w:val="000000"/>
          </w:rPr>
          <w:t>tendon disorders</w:t>
        </w:r>
      </w:hyperlink>
      <w:r>
        <w:rPr>
          <w:color w:val="000000"/>
        </w:rPr>
        <w:t xml:space="preserve"> associated with the use of </w:t>
      </w:r>
      <w:hyperlink r:id="rId137" w:history="1">
        <w:r>
          <w:rPr>
            <w:color w:val="000000"/>
          </w:rPr>
          <w:t>Levaquin</w:t>
        </w:r>
      </w:hyperlink>
      <w:r>
        <w:rPr>
          <w:color w:val="000000"/>
        </w:rPr>
        <w:t xml:space="preserve"> in patients who had been prescribed a steroid. Schedin presented evidence of OMJP’s perception of the regulatory action taken in Eur</w:t>
      </w:r>
      <w:r>
        <w:rPr>
          <w:color w:val="000000"/>
        </w:rPr>
        <w:t xml:space="preserve">ope in response to numerous adverse event reports associating </w:t>
      </w:r>
      <w:hyperlink r:id="rId138" w:history="1">
        <w:r>
          <w:rPr>
            <w:color w:val="000000"/>
          </w:rPr>
          <w:t>Levaquin</w:t>
        </w:r>
      </w:hyperlink>
      <w:r>
        <w:rPr>
          <w:color w:val="000000"/>
        </w:rPr>
        <w:t xml:space="preserve"> with </w:t>
      </w:r>
      <w:hyperlink r:id="rId139" w:history="1">
        <w:r>
          <w:rPr>
            <w:color w:val="000000"/>
          </w:rPr>
          <w:t>tendon injuries</w:t>
        </w:r>
      </w:hyperlink>
      <w:r>
        <w:rPr>
          <w:color w:val="000000"/>
        </w:rPr>
        <w:t>, evidence which showed OMJP connected an increase in regulation with a decrease in profits. Included in this evidence was a memo in which OMJP linked the sending of a Dear Doctor letter</w:t>
      </w:r>
      <w:r>
        <w:rPr>
          <w:color w:val="000000"/>
        </w:rPr>
        <w:t>—</w:t>
      </w:r>
      <w:r>
        <w:rPr>
          <w:color w:val="000000"/>
        </w:rPr>
        <w:t>something the jury’s verdict on</w:t>
      </w:r>
      <w:r>
        <w:rPr>
          <w:color w:val="000000"/>
        </w:rPr>
        <w:t xml:space="preserve"> compensatory damages clearly infers OMJP should have undertaken in order to satisfy its legal duty to provide an adequate warning</w:t>
      </w:r>
      <w:r>
        <w:rPr>
          <w:color w:val="000000"/>
        </w:rPr>
        <w:t>—</w:t>
      </w:r>
      <w:r>
        <w:rPr>
          <w:color w:val="000000"/>
        </w:rPr>
        <w:t xml:space="preserve">directly to the company’s profits </w:t>
      </w:r>
      <w:r>
        <w:rPr>
          <w:i/>
          <w:iCs/>
          <w:color w:val="000000"/>
        </w:rPr>
        <w:t>vis a vis</w:t>
      </w:r>
      <w:r>
        <w:rPr>
          <w:color w:val="000000"/>
        </w:rPr>
        <w:t xml:space="preserve"> its marketing of </w:t>
      </w:r>
      <w:hyperlink r:id="rId140" w:history="1">
        <w:r>
          <w:rPr>
            <w:color w:val="000000"/>
          </w:rPr>
          <w:t>Levaquin</w:t>
        </w:r>
      </w:hyperlink>
      <w:r>
        <w:rPr>
          <w:color w:val="000000"/>
        </w:rPr>
        <w:t xml:space="preserve">. </w:t>
      </w:r>
      <w:r>
        <w:rPr>
          <w:color w:val="000000"/>
        </w:rPr>
        <w:t>“</w:t>
      </w:r>
      <w:r>
        <w:rPr>
          <w:color w:val="000000"/>
        </w:rPr>
        <w:t>[I]f a Dear Dr letter has to go out and consequently reporting goes up</w:t>
      </w:r>
      <w:r>
        <w:rPr>
          <w:color w:val="000000"/>
        </w:rPr>
        <w:t>—</w:t>
      </w:r>
      <w:r>
        <w:rPr>
          <w:color w:val="000000"/>
        </w:rPr>
        <w:t>as it wil</w:t>
      </w:r>
      <w:r>
        <w:rPr>
          <w:color w:val="000000"/>
        </w:rPr>
        <w:t>l do, leading to an aggravation of the situation and ultimate product withdrawal.</w:t>
      </w:r>
      <w:r>
        <w:rPr>
          <w:color w:val="000000"/>
        </w:rPr>
        <w:t>”</w:t>
      </w:r>
      <w:r>
        <w:rPr>
          <w:color w:val="000000"/>
        </w:rPr>
        <w:t xml:space="preserve"> Appellee’s App. at 473.</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The original label OMJP issued when it first began marketing Levaquin in the United States contained no mention about the increased risks associate</w:t>
      </w:r>
      <w:r>
        <w:rPr>
          <w:color w:val="000000"/>
        </w:rPr>
        <w:t xml:space="preserve">d with prescribing </w:t>
      </w:r>
      <w:hyperlink r:id="rId141" w:history="1">
        <w:r>
          <w:rPr>
            <w:color w:val="000000"/>
          </w:rPr>
          <w:t>Levaquin</w:t>
        </w:r>
      </w:hyperlink>
      <w:r>
        <w:rPr>
          <w:color w:val="000000"/>
        </w:rPr>
        <w:t xml:space="preserve"> to elderly patients. The evidence showed that it is customary for physicians to rely upon Dear Doctor letters, and updates from pharmaceutical representatives, whenever there is a significant change in a product’s labeling after its initial release into t</w:t>
      </w:r>
      <w:r>
        <w:rPr>
          <w:color w:val="000000"/>
        </w:rPr>
        <w:t xml:space="preserve">he marketplace. But when OMJP revised </w:t>
      </w:r>
      <w:hyperlink r:id="rId142" w:history="1">
        <w:r>
          <w:rPr>
            <w:color w:val="000000"/>
          </w:rPr>
          <w:t>L</w:t>
        </w:r>
        <w:r>
          <w:rPr>
            <w:color w:val="000000"/>
          </w:rPr>
          <w:t>evaquin’s</w:t>
        </w:r>
      </w:hyperlink>
      <w:r>
        <w:rPr>
          <w:color w:val="000000"/>
        </w:rPr>
        <w:t xml:space="preserve"> labeling in 2002, it deliberately chose not to issue Dear Doctor letters or even to instruct its pharmaceutical representatives to advise physicians of the label change. Instead, OMJP deliberately chose to bury the updated warning</w:t>
      </w:r>
      <w:r>
        <w:rPr>
          <w:color w:val="000000"/>
        </w:rPr>
        <w:t>—</w:t>
      </w:r>
      <w:r>
        <w:rPr>
          <w:color w:val="000000"/>
        </w:rPr>
        <w:t>a s</w:t>
      </w:r>
      <w:r>
        <w:rPr>
          <w:color w:val="000000"/>
        </w:rPr>
        <w:t>ingle twenty-word sentence</w:t>
      </w:r>
      <w:r>
        <w:rPr>
          <w:color w:val="000000"/>
        </w:rPr>
        <w:t>—</w:t>
      </w:r>
      <w:r>
        <w:rPr>
          <w:color w:val="000000"/>
        </w:rPr>
        <w:t>inside thirty pages of fine print in the revised package insert, and then took no further action to ensure physicians would be aware of the label’s revised warnings. The jury could reasonably infer OMJP chose this course of actio</w:t>
      </w:r>
      <w:r>
        <w:rPr>
          <w:color w:val="000000"/>
        </w:rPr>
        <w:t>n because issuing Dear Doctor letters, or instructing pharmaceutical representatives to spread the word about the increased risk, would have a direct and adverse affect on OMJP’s profits.</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Thus, contrary to the majority’s conclusion that OMJP’s conduct sh</w:t>
      </w:r>
      <w:r>
        <w:rPr>
          <w:color w:val="000000"/>
        </w:rPr>
        <w:t xml:space="preserve">owed the company </w:t>
      </w:r>
      <w:r>
        <w:rPr>
          <w:color w:val="000000"/>
        </w:rPr>
        <w:t>“</w:t>
      </w:r>
      <w:r>
        <w:rPr>
          <w:color w:val="000000"/>
        </w:rPr>
        <w:t>actively sought ways to prevent the dangers associated with its product[,]</w:t>
      </w:r>
      <w:r>
        <w:rPr>
          <w:color w:val="000000"/>
        </w:rPr>
        <w:t>”</w:t>
      </w:r>
      <w:r>
        <w:rPr>
          <w:color w:val="000000"/>
        </w:rPr>
        <w:t xml:space="preserve"> </w:t>
      </w:r>
      <w:r>
        <w:rPr>
          <w:i/>
          <w:iCs/>
          <w:color w:val="000000"/>
        </w:rPr>
        <w:t>ante</w:t>
      </w:r>
      <w:r>
        <w:rPr>
          <w:color w:val="000000"/>
        </w:rPr>
        <w:t xml:space="preserve"> at 1169 (quoting </w:t>
      </w:r>
      <w:hyperlink r:id="rId143" w:history="1">
        <w:r>
          <w:rPr>
            <w:i/>
            <w:iCs/>
            <w:color w:val="000000"/>
          </w:rPr>
          <w:t>Beniek v. Textron, Inc.,</w:t>
        </w:r>
        <w:r>
          <w:rPr>
            <w:color w:val="000000"/>
          </w:rPr>
          <w:t xml:space="preserve"> 479 N.W.2d 719 723 (Minn.Ct.App.1992)</w:t>
        </w:r>
      </w:hyperlink>
      <w:r>
        <w:rPr>
          <w:color w:val="000000"/>
        </w:rPr>
        <w:t xml:space="preserve">), OMJP’s deliberate choices </w:t>
      </w:r>
      <w:r>
        <w:rPr>
          <w:color w:val="000000"/>
        </w:rPr>
        <w:t xml:space="preserve">virtually guaranteed that physicians would remain unaware of the increased risk of prescribing </w:t>
      </w:r>
      <w:hyperlink r:id="rId144" w:history="1">
        <w:r>
          <w:rPr>
            <w:color w:val="000000"/>
          </w:rPr>
          <w:t>Levaquin</w:t>
        </w:r>
      </w:hyperlink>
      <w:r>
        <w:rPr>
          <w:color w:val="000000"/>
        </w:rPr>
        <w:t xml:space="preserve"> to elderly patients in conjunction with corticosteroids. By reversing the punitive damage award we encourage other pharmaceutical companies to make the same devious choices OMJP m</w:t>
      </w:r>
      <w:r>
        <w:rPr>
          <w:color w:val="000000"/>
        </w:rPr>
        <w:t>ade, instead of affirming the jury’s decision to deter such conduct.</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jc w:val="both"/>
        <w:rPr>
          <w:color w:val="000000"/>
        </w:rPr>
      </w:pPr>
      <w:r>
        <w:rPr>
          <w:color w:val="000000"/>
        </w:rPr>
        <w:t>I concur in part, and respectfully dissent in part.</w:t>
      </w:r>
    </w:p>
    <w:p w:rsidR="00000000" w:rsidRDefault="002226BA">
      <w:pPr>
        <w:widowControl w:val="0"/>
        <w:autoSpaceDE w:val="0"/>
        <w:autoSpaceDN w:val="0"/>
        <w:adjustRightInd w:val="0"/>
        <w:jc w:val="both"/>
        <w:rPr>
          <w:color w:val="000000"/>
        </w:rPr>
      </w:pPr>
      <w:r>
        <w:rPr>
          <w:color w:val="000000"/>
        </w:rPr>
        <w:t> </w:t>
      </w:r>
    </w:p>
    <w:p w:rsidR="00000000" w:rsidRDefault="002226BA">
      <w:pPr>
        <w:widowControl w:val="0"/>
        <w:autoSpaceDE w:val="0"/>
        <w:autoSpaceDN w:val="0"/>
        <w:adjustRightInd w:val="0"/>
        <w:spacing w:before="600" w:after="200"/>
        <w:jc w:val="both"/>
        <w:rPr>
          <w:b/>
          <w:bCs/>
          <w:color w:val="212121"/>
        </w:rPr>
      </w:pPr>
      <w:bookmarkStart w:id="61" w:name="co_allCitations_1"/>
      <w:bookmarkEnd w:id="61"/>
      <w:r>
        <w:rPr>
          <w:b/>
          <w:bCs/>
          <w:color w:val="212121"/>
        </w:rPr>
        <w:t>All Citations</w:t>
      </w:r>
    </w:p>
    <w:p w:rsidR="00000000" w:rsidRDefault="002226BA">
      <w:pPr>
        <w:widowControl w:val="0"/>
        <w:autoSpaceDE w:val="0"/>
        <w:autoSpaceDN w:val="0"/>
        <w:adjustRightInd w:val="0"/>
        <w:jc w:val="both"/>
        <w:rPr>
          <w:color w:val="000000"/>
        </w:rPr>
      </w:pPr>
      <w:r>
        <w:rPr>
          <w:color w:val="000000"/>
        </w:rPr>
        <w:t>700 F.3d 1161, Prod.Liab.Rep. (CCH) P 18,973</w:t>
      </w:r>
    </w:p>
    <w:p w:rsidR="00000000" w:rsidRDefault="002226BA">
      <w:pPr>
        <w:widowControl w:val="0"/>
        <w:autoSpaceDE w:val="0"/>
        <w:autoSpaceDN w:val="0"/>
        <w:adjustRightInd w:val="0"/>
        <w:rPr>
          <w:rFonts w:ascii="sans-serif" w:hAnsi="sans-serif" w:cs="sans-serif"/>
          <w:color w:val="000000"/>
          <w:sz w:val="24"/>
          <w:szCs w:val="24"/>
        </w:rPr>
      </w:pPr>
    </w:p>
    <w:p w:rsidR="00000000" w:rsidRDefault="002226BA">
      <w:pPr>
        <w:widowControl w:val="0"/>
        <w:autoSpaceDE w:val="0"/>
        <w:autoSpaceDN w:val="0"/>
        <w:adjustRightInd w:val="0"/>
        <w:rPr>
          <w:rFonts w:ascii="Arial" w:hAnsi="Arial" w:cs="Arial"/>
          <w:sz w:val="24"/>
          <w:szCs w:val="24"/>
        </w:rPr>
        <w:sectPr w:rsidR="00000000">
          <w:type w:val="continuous"/>
          <w:pgSz w:w="12240" w:h="15840"/>
          <w:pgMar w:top="180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2226BA">
            <w:pPr>
              <w:widowControl w:val="0"/>
              <w:autoSpaceDE w:val="0"/>
              <w:autoSpaceDN w:val="0"/>
              <w:adjustRightInd w:val="0"/>
              <w:ind w:left="24" w:right="24"/>
              <w:rPr>
                <w:rFonts w:ascii="sans-serif" w:hAnsi="sans-serif" w:cs="sans-serif"/>
                <w:b/>
                <w:bCs/>
                <w:color w:val="777777"/>
                <w:sz w:val="16"/>
                <w:szCs w:val="16"/>
              </w:rPr>
            </w:pPr>
            <w:r>
              <w:rPr>
                <w:rFonts w:ascii="sans-serif" w:hAnsi="sans-serif" w:cs="sans-serif"/>
                <w:b/>
                <w:bCs/>
                <w:color w:val="777777"/>
                <w:sz w:val="16"/>
                <w:szCs w:val="16"/>
              </w:rPr>
              <w:t>End of Document</w:t>
            </w:r>
          </w:p>
          <w:p w:rsidR="00000000" w:rsidRDefault="002226BA">
            <w:pPr>
              <w:widowControl w:val="0"/>
              <w:autoSpaceDE w:val="0"/>
              <w:autoSpaceDN w:val="0"/>
              <w:adjustRightInd w:val="0"/>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000000" w:rsidRDefault="002226BA">
            <w:pPr>
              <w:widowControl w:val="0"/>
              <w:autoSpaceDE w:val="0"/>
              <w:autoSpaceDN w:val="0"/>
              <w:adjustRightInd w:val="0"/>
              <w:ind w:left="24" w:right="24"/>
              <w:jc w:val="right"/>
              <w:rPr>
                <w:rFonts w:ascii="sans-serif" w:hAnsi="sans-serif" w:cs="sans-serif"/>
                <w:color w:val="777777"/>
                <w:sz w:val="16"/>
                <w:szCs w:val="16"/>
              </w:rPr>
            </w:pPr>
            <w:r>
              <w:rPr>
                <w:rFonts w:ascii="sans-serif" w:hAnsi="sans-serif" w:cs="sans-serif"/>
                <w:color w:val="777777"/>
                <w:sz w:val="16"/>
                <w:szCs w:val="16"/>
              </w:rPr>
              <w:t>©</w:t>
            </w:r>
            <w:r>
              <w:rPr>
                <w:rFonts w:ascii="sans-serif" w:hAnsi="sans-serif" w:cs="sans-serif"/>
                <w:color w:val="777777"/>
                <w:sz w:val="16"/>
                <w:szCs w:val="16"/>
              </w:rPr>
              <w:t xml:space="preserve"> 2017 Thomson Reuters. No claim to original U.S. Government Works.</w:t>
            </w:r>
          </w:p>
          <w:p w:rsidR="00000000" w:rsidRDefault="002226BA">
            <w:pPr>
              <w:widowControl w:val="0"/>
              <w:autoSpaceDE w:val="0"/>
              <w:autoSpaceDN w:val="0"/>
              <w:adjustRightInd w:val="0"/>
              <w:ind w:left="24" w:right="24"/>
              <w:jc w:val="right"/>
              <w:rPr>
                <w:rFonts w:ascii="sans-serif" w:hAnsi="sans-serif" w:cs="sans-serif"/>
                <w:color w:val="777777"/>
                <w:sz w:val="16"/>
                <w:szCs w:val="16"/>
              </w:rPr>
            </w:pPr>
          </w:p>
        </w:tc>
      </w:tr>
    </w:tbl>
    <w:p w:rsidR="00000000" w:rsidRDefault="002226BA">
      <w:pPr>
        <w:widowControl w:val="0"/>
        <w:autoSpaceDE w:val="0"/>
        <w:autoSpaceDN w:val="0"/>
        <w:adjustRightInd w:val="0"/>
        <w:rPr>
          <w:rFonts w:ascii="Arial" w:hAnsi="Arial" w:cs="Arial"/>
          <w:sz w:val="24"/>
          <w:szCs w:val="24"/>
        </w:rPr>
      </w:pPr>
    </w:p>
    <w:p w:rsidR="00000000" w:rsidRDefault="002226BA">
      <w:pPr>
        <w:widowControl w:val="0"/>
        <w:autoSpaceDE w:val="0"/>
        <w:autoSpaceDN w:val="0"/>
        <w:adjustRightInd w:val="0"/>
        <w:rPr>
          <w:sz w:val="24"/>
          <w:szCs w:val="24"/>
        </w:rPr>
      </w:pPr>
    </w:p>
    <w:p w:rsidR="00000000" w:rsidRDefault="002226BA">
      <w:pPr>
        <w:widowControl w:val="0"/>
        <w:autoSpaceDE w:val="0"/>
        <w:autoSpaceDN w:val="0"/>
        <w:adjustRightInd w:val="0"/>
        <w:rPr>
          <w:rFonts w:ascii="Arial" w:hAnsi="Arial" w:cs="Arial"/>
          <w:sz w:val="24"/>
          <w:szCs w:val="24"/>
        </w:rPr>
        <w:sectPr w:rsidR="00000000">
          <w:type w:val="continuous"/>
          <w:pgSz w:w="12240" w:h="15840"/>
          <w:pgMar w:top="1800" w:right="1080" w:bottom="1080" w:left="1080" w:header="720" w:footer="720" w:gutter="0"/>
          <w:cols w:space="720"/>
          <w:noEndnote/>
        </w:sectPr>
      </w:pPr>
    </w:p>
    <w:p w:rsidR="00000000" w:rsidRDefault="002226BA">
      <w:pPr>
        <w:widowControl w:val="0"/>
        <w:autoSpaceDE w:val="0"/>
        <w:autoSpaceDN w:val="0"/>
        <w:adjustRightInd w:val="0"/>
        <w:rPr>
          <w:rFonts w:ascii="Arial" w:hAnsi="Arial" w:cs="Arial"/>
          <w:sz w:val="24"/>
          <w:szCs w:val="24"/>
        </w:rPr>
      </w:pPr>
    </w:p>
    <w:sectPr w:rsidR="00000000">
      <w:type w:val="continuous"/>
      <w:pgSz w:w="12240" w:h="15840"/>
      <w:pgMar w:top="1800" w:right="1080" w:bottom="1080" w:left="1080"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26BA">
      <w:r>
        <w:separator/>
      </w:r>
    </w:p>
  </w:endnote>
  <w:endnote w:type="continuationSeparator" w:id="0">
    <w:p w:rsidR="00000000" w:rsidRDefault="0022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ans-serif">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2226BA">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extent cx="745490" cy="98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98425"/>
                        </a:xfrm>
                        <a:prstGeom prst="rect">
                          <a:avLst/>
                        </a:prstGeom>
                        <a:noFill/>
                        <a:ln>
                          <a:noFill/>
                        </a:ln>
                      </pic:spPr>
                    </pic:pic>
                  </a:graphicData>
                </a:graphic>
              </wp:inline>
            </w:drawing>
          </w:r>
          <w:r>
            <w:rPr>
              <w:rFonts w:ascii="Arial" w:hAnsi="Arial" w:cs="Arial"/>
              <w:color w:val="AAAAAA"/>
            </w:rPr>
            <w:t xml:space="preserve"> </w:t>
          </w:r>
          <w:r>
            <w:rPr>
              <w:rFonts w:ascii="Arial" w:hAnsi="Arial" w:cs="Arial"/>
              <w:color w:val="AAAAAA"/>
            </w:rPr>
            <w:t>©</w:t>
          </w:r>
          <w:r>
            <w:rPr>
              <w:rFonts w:ascii="Arial" w:hAnsi="Arial" w:cs="Arial"/>
              <w:color w:val="AAAAAA"/>
            </w:rPr>
            <w:t xml:space="preserve"> 2017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2226BA">
          <w:pPr>
            <w:widowControl w:val="0"/>
            <w:autoSpaceDE w:val="0"/>
            <w:autoSpaceDN w:val="0"/>
            <w:adjustRightInd w:val="0"/>
            <w:jc w:val="right"/>
            <w:rPr>
              <w:rFonts w:ascii="Arial" w:hAnsi="Arial" w:cs="Arial"/>
              <w:color w:val="AAAAAA"/>
            </w:rPr>
          </w:pPr>
          <w:r>
            <w:rPr>
              <w:rFonts w:ascii="Arial" w:hAnsi="Arial" w:cs="Arial"/>
              <w:color w:val="AAAAAA"/>
            </w:rPr>
            <w:pgNum/>
          </w:r>
        </w:p>
      </w:tc>
    </w:tr>
  </w:tbl>
  <w:p w:rsidR="00000000" w:rsidRDefault="002226BA">
    <w:pPr>
      <w:widowControl w:val="0"/>
      <w:autoSpaceDE w:val="0"/>
      <w:autoSpaceDN w:val="0"/>
      <w:adjustRightInd w:val="0"/>
      <w:rPr>
        <w:rFonts w:ascii="Arial" w:hAnsi="Arial"/>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26BA">
      <w:r>
        <w:separator/>
      </w:r>
    </w:p>
  </w:footnote>
  <w:footnote w:type="continuationSeparator" w:id="0">
    <w:p w:rsidR="00000000" w:rsidRDefault="002226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rPr>
        <w:gridAfter w:val="1"/>
        <w:wAfter w:w="700" w:type="dxa"/>
      </w:trPr>
      <w:tc>
        <w:tcPr>
          <w:tcW w:w="9380" w:type="dxa"/>
          <w:tcBorders>
            <w:top w:val="nil"/>
            <w:left w:val="nil"/>
            <w:bottom w:val="nil"/>
            <w:right w:val="nil"/>
          </w:tcBorders>
          <w:tcMar>
            <w:top w:w="400" w:type="dxa"/>
            <w:bottom w:w="60" w:type="dxa"/>
          </w:tcMar>
          <w:vAlign w:val="bottom"/>
        </w:tcPr>
        <w:p w:rsidR="00000000" w:rsidRDefault="002226BA">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Burch, Elizabeth</w:t>
          </w:r>
          <w:r>
            <w:rPr>
              <w:rFonts w:ascii="Arial" w:hAnsi="Arial" w:cs="Arial"/>
              <w:color w:val="000000"/>
              <w:sz w:val="18"/>
              <w:szCs w:val="18"/>
            </w:rPr>
            <w:t xml:space="preserve"> </w:t>
          </w:r>
          <w:r>
            <w:rPr>
              <w:rFonts w:ascii="Arial" w:hAnsi="Arial" w:cs="Arial"/>
              <w:b/>
              <w:bCs/>
              <w:color w:val="000000"/>
              <w:sz w:val="18"/>
              <w:szCs w:val="18"/>
            </w:rPr>
            <w:t>1/10/2017</w:t>
          </w:r>
        </w:p>
        <w:p w:rsidR="00000000" w:rsidRDefault="002226BA">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2226BA">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In re Levaquin Products Liability Litigation, 700 F.3d 1161 (2012)</w:t>
          </w:r>
        </w:p>
      </w:tc>
      <w:tc>
        <w:tcPr>
          <w:tcW w:w="700" w:type="dxa"/>
          <w:tcBorders>
            <w:top w:val="nil"/>
            <w:left w:val="nil"/>
            <w:bottom w:val="single" w:sz="8" w:space="0" w:color="AAAAAA"/>
            <w:right w:val="nil"/>
          </w:tcBorders>
          <w:tcMar>
            <w:top w:w="400" w:type="dxa"/>
            <w:bottom w:w="60" w:type="dxa"/>
          </w:tcMar>
        </w:tcPr>
        <w:p w:rsidR="00000000" w:rsidRDefault="002226BA">
          <w:pPr>
            <w:widowControl w:val="0"/>
            <w:autoSpaceDE w:val="0"/>
            <w:autoSpaceDN w:val="0"/>
            <w:adjustRightInd w:val="0"/>
            <w:jc w:val="right"/>
            <w:rPr>
              <w:rFonts w:ascii="Arial" w:hAnsi="Arial" w:cs="Arial"/>
              <w:color w:val="000000"/>
              <w:sz w:val="18"/>
              <w:szCs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2226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Prod.Liab.Rep. (CCH) P 18,973</w:t>
          </w:r>
        </w:p>
      </w:tc>
    </w:tr>
  </w:tbl>
  <w:p w:rsidR="00000000" w:rsidRDefault="002226BA">
    <w:pPr>
      <w:widowControl w:val="0"/>
      <w:autoSpaceDE w:val="0"/>
      <w:autoSpaceDN w:val="0"/>
      <w:adjustRightInd w:val="0"/>
      <w:rPr>
        <w:rFonts w:ascii="Arial" w:hAnsi="Arial"/>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2562E"/>
    <w:multiLevelType w:val="singleLevel"/>
    <w:tmpl w:val="4217B532"/>
    <w:lvl w:ilvl="0">
      <w:numFmt w:val="decimal"/>
      <w:lvlText w:val="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BA"/>
    <w:rsid w:val="0022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1.next.westlaw.com/Link/RelatedInformation/Flag?documentGuid=I777da39f3af411e28a21ccb9036b2470&amp;transitionType=Document&amp;originationContext=docHeaderFlag&amp;contextData=(sc.Search)" TargetMode="External"/><Relationship Id="rId11" Type="http://schemas.openxmlformats.org/officeDocument/2006/relationships/image" Target="media/image2.png"/><Relationship Id="rId12" Type="http://schemas.openxmlformats.org/officeDocument/2006/relationships/hyperlink" Target="https://1.next.westlaw.com/Document/Id6b2019047de11e599358612e0bf9496/View/FullText.html?navigationPath=RelatedInfo%2Fv4%2Fkeycite%2Fnav%2F%3Fguid%3DId6b2019047de11e599358612e0bf9496%26ss%3D2029301530%26ds%3D2036919578&amp;listSource=RelatedInfo&amp;list=NegativeCitingReferences&amp;rank=0&amp;originationContext=docHeader&amp;transitionType=NegativeTreatment&amp;contextData=%28sc.Search%29" TargetMode="External"/><Relationship Id="rId13" Type="http://schemas.openxmlformats.org/officeDocument/2006/relationships/hyperlink" Target="http://www.westlaw.com/Search/Results.html?query=advanced%3a+OAID(4296827622)&amp;saveJuris=False&amp;contentType=BUSINESS-INVESTIGATOR&amp;startIndex=1&amp;contextData=(sc.Default)&amp;categoryPageUrl=Home%2fCompanyInvestigator&amp;originationContext=document&amp;vr=3.0&amp;rs=cblt1.0&amp;transitionType=DocumentItem" TargetMode="External"/><Relationship Id="rId14" Type="http://schemas.openxmlformats.org/officeDocument/2006/relationships/hyperlink" Target="http://www.westlaw.com/Link/Document/FullText?findType=h&amp;pubNum=176284&amp;cite=0168282001&amp;originatingDoc=I777da39f3af411e28a21ccb9036b2470&amp;refType=RQ&amp;originationContext=document&amp;vr=3.0&amp;rs=cblt1.0&amp;transitionType=DocumentItem&amp;contextData=(sc.Search)" TargetMode="External"/><Relationship Id="rId15" Type="http://schemas.openxmlformats.org/officeDocument/2006/relationships/hyperlink" Target="http://www.westlaw.com/Link/Document/FullText?findType=h&amp;pubNum=176284&amp;cite=0118506901&amp;originatingDoc=I777da39f3af411e28a21ccb9036b2470&amp;refType=RQ&amp;originationContext=document&amp;vr=3.0&amp;rs=cblt1.0&amp;transitionType=DocumentItem&amp;contextData=(sc.Search)" TargetMode="External"/><Relationship Id="rId16" Type="http://schemas.openxmlformats.org/officeDocument/2006/relationships/hyperlink" Target="http://www.westlaw.com/Link/Document/FullText?findType=h&amp;pubNum=176284&amp;cite=0129294501&amp;originatingDoc=I777da39f3af411e28a21ccb9036b2470&amp;refType=RQ&amp;originationContext=document&amp;vr=3.0&amp;rs=cblt1.0&amp;transitionType=DocumentItem&amp;contextData=(sc.Search)" TargetMode="External"/><Relationship Id="rId17" Type="http://schemas.openxmlformats.org/officeDocument/2006/relationships/hyperlink" Target="http://www.westlaw.com/Link/Document/FullText?findType=Y&amp;serNum=2025992546&amp;pubNum=4637&amp;originatingDoc=I777da39f3af411e28a21ccb9036b2470&amp;refType=RP&amp;originationContext=document&amp;vr=3.0&amp;rs=cblt1.0&amp;transitionType=DocumentItem&amp;contextData=(sc.Search)" TargetMode="External"/><Relationship Id="rId18" Type="http://schemas.openxmlformats.org/officeDocument/2006/relationships/hyperlink" Target="http://www.westlaw.com/Link/Document/FullText?findType=h&amp;pubNum=176284&amp;cite=0208157001&amp;originatingDoc=I777da39f3af411e28a21ccb9036b2470&amp;refType=RQ&amp;originationContext=document&amp;vr=3.0&amp;rs=cblt1.0&amp;transitionType=DocumentItem&amp;contextData=(sc.Search)" TargetMode="External"/><Relationship Id="rId19" Type="http://schemas.openxmlformats.org/officeDocument/2006/relationships/hyperlink" Target="#co_anchor_F62029301530_1" TargetMode="External"/><Relationship Id="rId60" Type="http://schemas.openxmlformats.org/officeDocument/2006/relationships/hyperlink" Target="#co_anchor_F12029301530_1" TargetMode="External"/><Relationship Id="rId61" Type="http://schemas.openxmlformats.org/officeDocument/2006/relationships/hyperlink" Target="http://www.westlaw.com/Link/Document/FullText?findType=Y&amp;serNum=2001665651&amp;pubNum=506&amp;originatingDoc=I777da39f3af411e28a21ccb9036b2470&amp;refType=RP&amp;fi=co_pp_sp_506_904&amp;originationContext=document&amp;vr=3.0&amp;rs=cblt1.0&amp;transitionType=DocumentItem&amp;contextData=(sc.Search)#co_pp_sp_506_904" TargetMode="External"/><Relationship Id="rId62" Type="http://schemas.openxmlformats.org/officeDocument/2006/relationships/hyperlink" Target="http://www.westlaw.com/Link/Document/FullText?findType=Y&amp;serNum=1995143017&amp;pubNum=506&amp;originatingDoc=I777da39f3af411e28a21ccb9036b2470&amp;refType=RP&amp;fi=co_pp_sp_506_1301&amp;originationContext=document&amp;vr=3.0&amp;rs=cblt1.0&amp;transitionType=DocumentItem&amp;contextData=(sc.Search)#co_pp_sp_506_1301" TargetMode="External"/><Relationship Id="rId63" Type="http://schemas.openxmlformats.org/officeDocument/2006/relationships/hyperlink" Target="http://www.westlaw.com/Link/Document/FullText?findType=L&amp;pubNum=1000044&amp;cite=MNSTRCPR50.01&amp;originatingDoc=I777da39f3af411e28a21ccb9036b2470&amp;refType=LQ&amp;originationContext=document&amp;vr=3.0&amp;rs=cblt1.0&amp;transitionType=DocumentItem&amp;contextData=(sc.Search)" TargetMode="External"/><Relationship Id="rId64" Type="http://schemas.openxmlformats.org/officeDocument/2006/relationships/hyperlink" Target="http://www.westlaw.com/Link/Document/FullText?findType=L&amp;pubNum=1000044&amp;cite=MNSTRCPR50.02&amp;originatingDoc=I777da39f3af411e28a21ccb9036b2470&amp;refType=LQ&amp;originationContext=document&amp;vr=3.0&amp;rs=cblt1.0&amp;transitionType=DocumentItem&amp;contextData=(sc.Search)" TargetMode="External"/><Relationship Id="rId65" Type="http://schemas.openxmlformats.org/officeDocument/2006/relationships/hyperlink" Target="http://www.westlaw.com/Link/Document/FullText?findType=Y&amp;serNum=1999177536&amp;pubNum=506&amp;originatingDoc=I777da39f3af411e28a21ccb9036b2470&amp;refType=RP&amp;fi=co_pp_sp_506_912&amp;originationContext=document&amp;vr=3.0&amp;rs=cblt1.0&amp;transitionType=DocumentItem&amp;contextData=(sc.Search)#co_pp_sp_506_912" TargetMode="External"/><Relationship Id="rId66" Type="http://schemas.openxmlformats.org/officeDocument/2006/relationships/hyperlink" Target="#co_anchor_F22029301530_1" TargetMode="External"/><Relationship Id="rId67" Type="http://schemas.openxmlformats.org/officeDocument/2006/relationships/hyperlink" Target="http://www.westlaw.com/Link/Document/FullText?findType=Y&amp;serNum=2004623363&amp;pubNum=595&amp;originatingDoc=I777da39f3af411e28a21ccb9036b2470&amp;refType=RP&amp;fi=co_pp_sp_595_687&amp;originationContext=document&amp;vr=3.0&amp;rs=cblt1.0&amp;transitionType=DocumentItem&amp;contextData=(sc.Search)#co_pp_sp_595_687" TargetMode="External"/><Relationship Id="rId68" Type="http://schemas.openxmlformats.org/officeDocument/2006/relationships/hyperlink" Target="http://www.westlaw.com/Link/Document/FullText?findType=Y&amp;serNum=2004623363&amp;originatingDoc=I777da39f3af411e28a21ccb9036b2470&amp;refType=RP&amp;originationContext=document&amp;vr=3.0&amp;rs=cblt1.0&amp;transitionType=DocumentItem&amp;contextData=(sc.Search)" TargetMode="External"/><Relationship Id="rId69" Type="http://schemas.openxmlformats.org/officeDocument/2006/relationships/hyperlink" Target="http://www.westlaw.com/Link/Document/FullText?findType=Y&amp;serNum=1977131093&amp;pubNum=595&amp;originatingDoc=I777da39f3af411e28a21ccb9036b2470&amp;refType=RP&amp;fi=co_pp_sp_595_328&amp;originationContext=document&amp;vr=3.0&amp;rs=cblt1.0&amp;transitionType=DocumentItem&amp;contextData=(sc.Search)#co_pp_sp_595_328" TargetMode="External"/><Relationship Id="rId120"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21" Type="http://schemas.openxmlformats.org/officeDocument/2006/relationships/hyperlink" Target="http://www.westlaw.com/Link/Document/FullText?entityType=injury&amp;entityId=Ib8533f5a475411db9765f9243f53508a&amp;originationContext=document&amp;transitionType=DocumentItem&amp;contextData=(sc.Default)&amp;vr=3.0&amp;rs=cblt1.0" TargetMode="External"/><Relationship Id="rId122" Type="http://schemas.openxmlformats.org/officeDocument/2006/relationships/hyperlink" Target="http://www.westlaw.com/Link/Document/FullText?findType=Y&amp;serNum=1992018532&amp;pubNum=595&amp;originatingDoc=I777da39f3af411e28a21ccb9036b2470&amp;refType=RP&amp;fi=co_pp_sp_595_723&amp;originationContext=document&amp;vr=3.0&amp;rs=cblt1.0&amp;transitionType=DocumentItem&amp;contextData=(sc.Search)#co_pp_sp_595_723" TargetMode="External"/><Relationship Id="rId123"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24" Type="http://schemas.openxmlformats.org/officeDocument/2006/relationships/hyperlink" Target="http://www.westlaw.com/Link/Document/FullText?findType=h&amp;pubNum=176284&amp;cite=0118506901&amp;originatingDoc=I777da39f3af411e28a21ccb9036b2470&amp;refType=RQ&amp;originationContext=document&amp;vr=3.0&amp;rs=cblt1.0&amp;transitionType=DocumentItem&amp;contextData=(sc.Search)" TargetMode="External"/><Relationship Id="rId125" Type="http://schemas.openxmlformats.org/officeDocument/2006/relationships/hyperlink" Target="http://www.westlaw.com/Link/Document/FullText?entityType=injury&amp;entityId=Ib8533f5a475411db9765f9243f53508a&amp;originationContext=document&amp;transitionType=DocumentItem&amp;contextData=(sc.Default)&amp;vr=3.0&amp;rs=cblt1.0" TargetMode="External"/><Relationship Id="rId126"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27" Type="http://schemas.openxmlformats.org/officeDocument/2006/relationships/hyperlink" Target="http://www.westlaw.com/Link/Document/FullText?findType=Y&amp;serNum=2000377873&amp;pubNum=708&amp;originatingDoc=I777da39f3af411e28a21ccb9036b2470&amp;refType=RP&amp;originationContext=document&amp;vr=3.0&amp;rs=cblt1.0&amp;transitionType=DocumentItem&amp;contextData=(sc.Search)" TargetMode="External"/><Relationship Id="rId128" Type="http://schemas.openxmlformats.org/officeDocument/2006/relationships/hyperlink" Target="http://www.westlaw.com/Link/Document/FullText?findType=Y&amp;serNum=2022750090&amp;pubNum=506&amp;originatingDoc=I777da39f3af411e28a21ccb9036b2470&amp;refType=RP&amp;fi=co_pp_sp_506_995&amp;originationContext=document&amp;vr=3.0&amp;rs=cblt1.0&amp;transitionType=DocumentItem&amp;contextData=(sc.Search)#co_pp_sp_506_995" TargetMode="External"/><Relationship Id="rId129"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40"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41"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42"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90" Type="http://schemas.openxmlformats.org/officeDocument/2006/relationships/hyperlink" Target="http://www.westlaw.com/Link/Document/FullText?findType=Y&amp;serNum=1969117795&amp;pubNum=350&amp;originatingDoc=I777da39f3af411e28a21ccb9036b2470&amp;refType=RP&amp;fi=co_pp_sp_350_992&amp;originationContext=document&amp;vr=3.0&amp;rs=cblt1.0&amp;transitionType=DocumentItem&amp;contextData=(sc.Search)#co_pp_sp_350_992" TargetMode="External"/><Relationship Id="rId91" Type="http://schemas.openxmlformats.org/officeDocument/2006/relationships/hyperlink" Target="http://www.westlaw.com/Link/Document/FullText?entityType=injury&amp;entityId=Ib8533f5a475411db9765f9243f53508a&amp;originationContext=document&amp;transitionType=DocumentItem&amp;contextData=(sc.Default)&amp;vr=3.0&amp;rs=cblt1.0" TargetMode="External"/><Relationship Id="rId92"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93" Type="http://schemas.openxmlformats.org/officeDocument/2006/relationships/hyperlink" Target="#co_anchor_F72029301530_1" TargetMode="External"/><Relationship Id="rId94" Type="http://schemas.openxmlformats.org/officeDocument/2006/relationships/hyperlink" Target="#co_anchor_F82029301530_1" TargetMode="External"/><Relationship Id="rId95" Type="http://schemas.openxmlformats.org/officeDocument/2006/relationships/hyperlink" Target="http://www.westlaw.com/Link/Document/FullText?findType=L&amp;pubNum=1000546&amp;cite=21USCAS355&amp;originatingDoc=I777da39f3af411e28a21ccb9036b2470&amp;refType=LQ&amp;originationContext=document&amp;vr=3.0&amp;rs=cblt1.0&amp;transitionType=DocumentItem&amp;contextData=(sc.Search)" TargetMode="External"/><Relationship Id="rId96" Type="http://schemas.openxmlformats.org/officeDocument/2006/relationships/hyperlink" Target="http://www.westlaw.com/Link/Document/FullText?findType=L&amp;pubNum=1000546&amp;cite=21USCAS355-1&amp;originatingDoc=I777da39f3af411e28a21ccb9036b2470&amp;refType=RB&amp;originationContext=document&amp;vr=3.0&amp;rs=cblt1.0&amp;transitionType=DocumentItem&amp;contextData=(sc.Search)#co_pp_d801000002763" TargetMode="External"/><Relationship Id="rId101" Type="http://schemas.openxmlformats.org/officeDocument/2006/relationships/hyperlink" Target="http://www.westlaw.com/Link/Document/FullText?findType=Y&amp;serNum=1992113343&amp;pubNum=595&amp;originatingDoc=I777da39f3af411e28a21ccb9036b2470&amp;refType=RP&amp;fi=co_pp_sp_595_181&amp;originationContext=document&amp;vr=3.0&amp;rs=cblt1.0&amp;transitionType=DocumentItem&amp;contextData=(sc.Search)#co_pp_sp_595_181" TargetMode="External"/><Relationship Id="rId102" Type="http://schemas.openxmlformats.org/officeDocument/2006/relationships/hyperlink" Target="http://www.westlaw.com/Link/Document/FullText?findType=Y&amp;serNum=1992113343&amp;originatingDoc=I777da39f3af411e28a21ccb9036b2470&amp;refType=RP&amp;originationContext=document&amp;vr=3.0&amp;rs=cblt1.0&amp;transitionType=DocumentItem&amp;contextData=(sc.Search)" TargetMode="External"/><Relationship Id="rId103" Type="http://schemas.openxmlformats.org/officeDocument/2006/relationships/hyperlink" Target="http://www.westlaw.com/Link/Document/FullText?findType=Y&amp;serNum=0290694188&amp;pubNum=0101577&amp;originatingDoc=I777da39f3af411e28a21ccb9036b2470&amp;refType=TS&amp;originationContext=document&amp;vr=3.0&amp;rs=cblt1.0&amp;transitionType=DocumentItem&amp;contextData=(sc.Search)" TargetMode="External"/><Relationship Id="rId104" Type="http://schemas.openxmlformats.org/officeDocument/2006/relationships/hyperlink" Target="http://www.westlaw.com/Link/Document/FullText?findType=Y&amp;serNum=1981152808&amp;pubNum=350&amp;originatingDoc=I777da39f3af411e28a21ccb9036b2470&amp;refType=RP&amp;fi=co_pp_sp_350_1225&amp;originationContext=document&amp;vr=3.0&amp;rs=cblt1.0&amp;transitionType=DocumentItem&amp;contextData=(sc.Search)#co_pp_sp_350_1225" TargetMode="External"/><Relationship Id="rId105" Type="http://schemas.openxmlformats.org/officeDocument/2006/relationships/hyperlink" Target="http://www.westlaw.com/Link/Document/FullText?findType=Y&amp;serNum=1990074530&amp;pubNum=595&amp;originatingDoc=I777da39f3af411e28a21ccb9036b2470&amp;refType=RP&amp;fi=co_pp_sp_595_78&amp;originationContext=document&amp;vr=3.0&amp;rs=cblt1.0&amp;transitionType=DocumentItem&amp;contextData=(sc.Search)#co_pp_sp_595_78" TargetMode="External"/><Relationship Id="rId106" Type="http://schemas.openxmlformats.org/officeDocument/2006/relationships/hyperlink" Target="http://www.westlaw.com/Link/Document/FullText?findType=Y&amp;serNum=1970126326&amp;pubNum=595&amp;originatingDoc=I777da39f3af411e28a21ccb9036b2470&amp;refType=RP&amp;fi=co_pp_sp_595_885&amp;originationContext=document&amp;vr=3.0&amp;rs=cblt1.0&amp;transitionType=DocumentItem&amp;contextData=(sc.Search)#co_pp_sp_595_885" TargetMode="External"/><Relationship Id="rId107" Type="http://schemas.openxmlformats.org/officeDocument/2006/relationships/hyperlink" Target="http://www.westlaw.com/Link/Document/FullText?findType=Y&amp;serNum=1990074530&amp;originatingDoc=I777da39f3af411e28a21ccb9036b2470&amp;refType=RP&amp;originationContext=document&amp;vr=3.0&amp;rs=cblt1.0&amp;transitionType=DocumentItem&amp;contextData=(sc.Search)" TargetMode="External"/><Relationship Id="rId108" Type="http://schemas.openxmlformats.org/officeDocument/2006/relationships/hyperlink" Target="#co_anchor_F112029301530_1" TargetMode="External"/><Relationship Id="rId109"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97" Type="http://schemas.openxmlformats.org/officeDocument/2006/relationships/hyperlink" Target="http://www.westlaw.com/Link/Document/FullText?findType=L&amp;pubNum=1000546&amp;cite=21USCAS355-1&amp;originatingDoc=I777da39f3af411e28a21ccb9036b2470&amp;refType=RB&amp;originationContext=document&amp;vr=3.0&amp;rs=cblt1.0&amp;transitionType=DocumentItem&amp;contextData=(sc.Search)#co_pp_609d000059b95" TargetMode="External"/><Relationship Id="rId98" Type="http://schemas.openxmlformats.org/officeDocument/2006/relationships/hyperlink" Target="http://www.westlaw.com/Link/Document/FullText?findType=Y&amp;serNum=2026920752&amp;pubNum=506&amp;originatingDoc=I777da39f3af411e28a21ccb9036b2470&amp;refType=RP&amp;fi=co_pp_sp_506_1130&amp;originationContext=document&amp;vr=3.0&amp;rs=cblt1.0&amp;transitionType=DocumentItem&amp;contextData=(sc.Search)#co_pp_sp_506_1130" TargetMode="External"/><Relationship Id="rId99" Type="http://schemas.openxmlformats.org/officeDocument/2006/relationships/hyperlink" Target="#co_anchor_F92029301530_1" TargetMode="External"/><Relationship Id="rId43"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44" Type="http://schemas.openxmlformats.org/officeDocument/2006/relationships/hyperlink" Target="http://www.westlaw.com/Link/Document/FullText?entityType=injury&amp;entityId=Ib8533f5a475411db9765f9243f53508a&amp;originationContext=document&amp;transitionType=DocumentItem&amp;contextData=(sc.Default)&amp;vr=3.0&amp;rs=cblt1.0" TargetMode="External"/><Relationship Id="rId45"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46"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47"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48" Type="http://schemas.openxmlformats.org/officeDocument/2006/relationships/hyperlink" Target="http://www.westlaw.com/Link/Document/FullText?entityType=injury&amp;entityId=Ib8533f5a475411db9765f9243f53508a&amp;originationContext=document&amp;transitionType=DocumentItem&amp;contextData=(sc.Default)&amp;vr=3.0&amp;rs=cblt1.0" TargetMode="External"/><Relationship Id="rId49"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00" Type="http://schemas.openxmlformats.org/officeDocument/2006/relationships/hyperlink" Target="#co_anchor_F102029301530_1" TargetMode="External"/><Relationship Id="rId20" Type="http://schemas.openxmlformats.org/officeDocument/2006/relationships/hyperlink" Target="#co_anchor_F112029301530_1" TargetMode="External"/><Relationship Id="rId21" Type="http://schemas.openxmlformats.org/officeDocument/2006/relationships/hyperlink" Target="#co_anchor_F142029301530_1" TargetMode="External"/><Relationship Id="rId22" Type="http://schemas.openxmlformats.org/officeDocument/2006/relationships/hyperlink" Target="http://www.westlaw.com/Link/Document/FullText?findType=h&amp;pubNum=176284&amp;cite=0118506901&amp;originatingDoc=I777da39f3af411e28a21ccb9036b2470&amp;refType=RQ&amp;originationContext=document&amp;vr=3.0&amp;rs=cblt1.0&amp;transitionType=DocumentItem&amp;contextData=(sc.Search)" TargetMode="External"/><Relationship Id="rId70" Type="http://schemas.openxmlformats.org/officeDocument/2006/relationships/hyperlink" Target="http://www.westlaw.com/Link/Document/FullText?findType=L&amp;pubNum=1000044&amp;cite=MNSTRCPR59.01&amp;originatingDoc=I777da39f3af411e28a21ccb9036b2470&amp;refType=LQ&amp;originationContext=document&amp;vr=3.0&amp;rs=cblt1.0&amp;transitionType=DocumentItem&amp;contextData=(sc.Search)" TargetMode="External"/><Relationship Id="rId71" Type="http://schemas.openxmlformats.org/officeDocument/2006/relationships/hyperlink" Target="http://www.westlaw.com/Link/Document/FullText?findType=Y&amp;serNum=2002754909&amp;pubNum=506&amp;originatingDoc=I777da39f3af411e28a21ccb9036b2470&amp;refType=RP&amp;fi=co_pp_sp_506_351&amp;originationContext=document&amp;vr=3.0&amp;rs=cblt1.0&amp;transitionType=DocumentItem&amp;contextData=(sc.Search)#co_pp_sp_506_351" TargetMode="External"/><Relationship Id="rId72" Type="http://schemas.openxmlformats.org/officeDocument/2006/relationships/hyperlink" Target="http://www.westlaw.com/Link/Document/FullText?findType=Y&amp;serNum=2002375235&amp;pubNum=506&amp;originatingDoc=I777da39f3af411e28a21ccb9036b2470&amp;refType=RP&amp;fi=co_pp_sp_506_495&amp;originationContext=document&amp;vr=3.0&amp;rs=cblt1.0&amp;transitionType=DocumentItem&amp;contextData=(sc.Search)#co_pp_sp_506_495" TargetMode="External"/><Relationship Id="rId73"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74" Type="http://schemas.openxmlformats.org/officeDocument/2006/relationships/hyperlink" Target="http://www.westlaw.com/Link/Document/FullText?findType=Y&amp;serNum=1995175135&amp;pubNum=506&amp;originatingDoc=I777da39f3af411e28a21ccb9036b2470&amp;refType=RP&amp;fi=co_pp_sp_506_791&amp;originationContext=document&amp;vr=3.0&amp;rs=cblt1.0&amp;transitionType=DocumentItem&amp;contextData=(sc.Search)#co_pp_sp_506_791" TargetMode="External"/><Relationship Id="rId75" Type="http://schemas.openxmlformats.org/officeDocument/2006/relationships/hyperlink" Target="#co_anchor_F32029301530_1" TargetMode="External"/><Relationship Id="rId76" Type="http://schemas.openxmlformats.org/officeDocument/2006/relationships/hyperlink" Target="#co_anchor_F42029301530_1" TargetMode="External"/><Relationship Id="rId77" Type="http://schemas.openxmlformats.org/officeDocument/2006/relationships/hyperlink" Target="#co_anchor_F52029301530_1" TargetMode="External"/><Relationship Id="rId78" Type="http://schemas.openxmlformats.org/officeDocument/2006/relationships/hyperlink" Target="http://www.westlaw.com/Link/Document/FullText?findType=Y&amp;serNum=2004789912&amp;pubNum=506&amp;originatingDoc=I777da39f3af411e28a21ccb9036b2470&amp;refType=RP&amp;fi=co_pp_sp_506_924&amp;originationContext=document&amp;vr=3.0&amp;rs=cblt1.0&amp;transitionType=DocumentItem&amp;contextData=(sc.Search)#co_pp_sp_506_924" TargetMode="External"/><Relationship Id="rId79" Type="http://schemas.openxmlformats.org/officeDocument/2006/relationships/hyperlink" Target="http://www.westlaw.com/Link/Document/FullText?findType=Y&amp;serNum=1990074530&amp;pubNum=595&amp;originatingDoc=I777da39f3af411e28a21ccb9036b2470&amp;refType=RP&amp;fi=co_pp_sp_595_77&amp;originationContext=document&amp;vr=3.0&amp;rs=cblt1.0&amp;transitionType=DocumentItem&amp;contextData=(sc.Search)#co_pp_sp_595_77" TargetMode="External"/><Relationship Id="rId23" Type="http://schemas.openxmlformats.org/officeDocument/2006/relationships/hyperlink" Target="http://www.westlaw.com/Link/Document/FullText?findType=h&amp;pubNum=176284&amp;cite=0141098301&amp;originatingDoc=I777da39f3af411e28a21ccb9036b2470&amp;refType=RQ&amp;originationContext=document&amp;vr=3.0&amp;rs=cblt1.0&amp;transitionType=DocumentItem&amp;contextData=(sc.Search)" TargetMode="External"/><Relationship Id="rId24" Type="http://schemas.openxmlformats.org/officeDocument/2006/relationships/hyperlink" Target="http://www.westlaw.com/Link/Document/FullText?findType=h&amp;pubNum=176284&amp;cite=0275340901&amp;originatingDoc=I777da39f3af411e28a21ccb9036b2470&amp;refType=RQ&amp;originationContext=document&amp;vr=3.0&amp;rs=cblt1.0&amp;transitionType=DocumentItem&amp;contextData=(sc.Search)" TargetMode="External"/><Relationship Id="rId25" Type="http://schemas.openxmlformats.org/officeDocument/2006/relationships/hyperlink" Target="http://www.westlaw.com/Link/Document/FullText?findType=h&amp;pubNum=176284&amp;cite=0330125701&amp;originatingDoc=I777da39f3af411e28a21ccb9036b2470&amp;refType=RQ&amp;originationContext=document&amp;vr=3.0&amp;rs=cblt1.0&amp;transitionType=DocumentItem&amp;contextData=(sc.Search)" TargetMode="External"/><Relationship Id="rId26" Type="http://schemas.openxmlformats.org/officeDocument/2006/relationships/hyperlink" Target="http://www.westlaw.com/Link/Document/FullText?findType=h&amp;pubNum=176284&amp;cite=0204572901&amp;originatingDoc=I777da39f3af411e28a21ccb9036b2470&amp;refType=RQ&amp;originationContext=document&amp;vr=3.0&amp;rs=cblt1.0&amp;transitionType=DocumentItem&amp;contextData=(sc.Search)" TargetMode="External"/><Relationship Id="rId27" Type="http://schemas.openxmlformats.org/officeDocument/2006/relationships/hyperlink" Target="http://www.westlaw.com/Link/Document/FullText?findType=h&amp;pubNum=176284&amp;cite=0395540701&amp;originatingDoc=I777da39f3af411e28a21ccb9036b2470&amp;refType=RQ&amp;originationContext=document&amp;vr=3.0&amp;rs=cblt1.0&amp;transitionType=DocumentItem&amp;contextData=(sc.Search)" TargetMode="External"/><Relationship Id="rId28" Type="http://schemas.openxmlformats.org/officeDocument/2006/relationships/hyperlink" Target="http://www.westlaw.com/Link/Document/FullText?findType=h&amp;pubNum=176284&amp;cite=0404007201&amp;originatingDoc=I777da39f3af411e28a21ccb9036b2470&amp;refType=RQ&amp;originationContext=document&amp;vr=3.0&amp;rs=cblt1.0&amp;transitionType=DocumentItem&amp;contextData=(sc.Search)" TargetMode="External"/><Relationship Id="rId29" Type="http://schemas.openxmlformats.org/officeDocument/2006/relationships/hyperlink" Target="http://www.westlaw.com/Link/Document/FullText?findType=h&amp;pubNum=176284&amp;cite=0115666601&amp;originatingDoc=I777da39f3af411e28a21ccb9036b2470&amp;refType=RQ&amp;originationContext=document&amp;vr=3.0&amp;rs=cblt1.0&amp;transitionType=DocumentItem&amp;contextData=(sc.Search)" TargetMode="External"/><Relationship Id="rId130"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31"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32" Type="http://schemas.openxmlformats.org/officeDocument/2006/relationships/hyperlink" Target="http://www.westlaw.com/Link/Document/FullText?findType=Y&amp;serNum=2025992546&amp;pubNum=4637&amp;originatingDoc=I777da39f3af411e28a21ccb9036b2470&amp;refType=RP&amp;fi=co_pp_sp_4637_1137&amp;originationContext=document&amp;vr=3.0&amp;rs=cblt1.0&amp;transitionType=DocumentItem&amp;contextData=(sc.Search)#co_pp_sp_4637_1137" TargetMode="External"/><Relationship Id="rId133" Type="http://schemas.openxmlformats.org/officeDocument/2006/relationships/hyperlink" Target="http://www.westlaw.com/Link/Document/FullText?findType=L&amp;pubNum=1000044&amp;cite=MNSTS549.20&amp;originatingDoc=I777da39f3af411e28a21ccb9036b2470&amp;refType=LQ&amp;originationContext=document&amp;vr=3.0&amp;rs=cblt1.0&amp;transitionType=DocumentItem&amp;contextData=(sc.Search)" TargetMode="External"/><Relationship Id="rId134"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35"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36" Type="http://schemas.openxmlformats.org/officeDocument/2006/relationships/hyperlink" Target="http://www.westlaw.com/Link/Document/FullText?entityType=disease&amp;entityId=Iae3d4eda475411db9765f9243f53508a&amp;originationContext=document&amp;transitionType=DocumentItem&amp;contextData=(sc.Default)&amp;vr=3.0&amp;rs=cblt1.0" TargetMode="External"/><Relationship Id="rId137"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38"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39" Type="http://schemas.openxmlformats.org/officeDocument/2006/relationships/hyperlink" Target="http://www.westlaw.com/Link/Document/FullText?entityType=injury&amp;entityId=Ib8533f5a475411db9765f9243f53508a&amp;originationContext=document&amp;transitionType=DocumentItem&amp;contextData=(sc.Default)&amp;vr=3.0&amp;rs=cblt1.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50"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51"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52"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53"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54"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55"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56" Type="http://schemas.openxmlformats.org/officeDocument/2006/relationships/hyperlink" Target="http://www.westlaw.com/Link/Document/FullText?findType=L&amp;pubNum=1000546&amp;cite=28USCAS1332&amp;originatingDoc=I777da39f3af411e28a21ccb9036b2470&amp;refType=LQ&amp;originationContext=document&amp;vr=3.0&amp;rs=cblt1.0&amp;transitionType=DocumentItem&amp;contextData=(sc.Search)" TargetMode="External"/><Relationship Id="rId57"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58"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59" Type="http://schemas.openxmlformats.org/officeDocument/2006/relationships/hyperlink" Target="http://www.westlaw.com/Link/Document/FullText?findType=L&amp;pubNum=1000546&amp;cite=28USCAS1291&amp;originatingDoc=I777da39f3af411e28a21ccb9036b2470&amp;refType=LQ&amp;originationContext=document&amp;vr=3.0&amp;rs=cblt1.0&amp;transitionType=DocumentItem&amp;contextData=(sc.Search)" TargetMode="External"/><Relationship Id="rId110"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11"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12" Type="http://schemas.openxmlformats.org/officeDocument/2006/relationships/hyperlink" Target="http://www.westlaw.com/Link/Document/FullText?findType=Y&amp;serNum=1990074530&amp;pubNum=595&amp;originatingDoc=I777da39f3af411e28a21ccb9036b2470&amp;refType=RP&amp;fi=co_pp_sp_595_78&amp;originationContext=document&amp;vr=3.0&amp;rs=cblt1.0&amp;transitionType=DocumentItem&amp;contextData=(sc.Search)#co_pp_sp_595_78" TargetMode="External"/><Relationship Id="rId113" Type="http://schemas.openxmlformats.org/officeDocument/2006/relationships/hyperlink" Target="#co_anchor_F122029301530_1" TargetMode="External"/><Relationship Id="rId114" Type="http://schemas.openxmlformats.org/officeDocument/2006/relationships/hyperlink" Target="#co_anchor_F132029301530_1" TargetMode="External"/><Relationship Id="rId115" Type="http://schemas.openxmlformats.org/officeDocument/2006/relationships/hyperlink" Target="http://www.westlaw.com/Link/Document/FullText?findType=L&amp;pubNum=1000044&amp;cite=MNSTS549.20&amp;originatingDoc=I777da39f3af411e28a21ccb9036b2470&amp;refType=SP&amp;originationContext=document&amp;vr=3.0&amp;rs=cblt1.0&amp;transitionType=DocumentItem&amp;contextData=(sc.Search)#co_pp_2add000034c06" TargetMode="External"/><Relationship Id="rId116" Type="http://schemas.openxmlformats.org/officeDocument/2006/relationships/hyperlink" Target="http://www.westlaw.com/Link/Document/FullText?findType=L&amp;pubNum=1000044&amp;cite=MNSTS549.20&amp;originatingDoc=I777da39f3af411e28a21ccb9036b2470&amp;refType=SP&amp;originationContext=document&amp;vr=3.0&amp;rs=cblt1.0&amp;transitionType=DocumentItem&amp;contextData=(sc.Search)#co_pp_2add000034c06" TargetMode="External"/><Relationship Id="rId117" Type="http://schemas.openxmlformats.org/officeDocument/2006/relationships/hyperlink" Target="http://www.westlaw.com/Link/Document/FullText?findType=Y&amp;serNum=1998251851&amp;pubNum=4637&amp;originatingDoc=I777da39f3af411e28a21ccb9036b2470&amp;refType=RP&amp;fi=co_pp_sp_4637_1039&amp;originationContext=document&amp;vr=3.0&amp;rs=cblt1.0&amp;transitionType=DocumentItem&amp;contextData=(sc.Search)#co_pp_sp_4637_1039" TargetMode="External"/><Relationship Id="rId118" Type="http://schemas.openxmlformats.org/officeDocument/2006/relationships/hyperlink" Target="http://www.westlaw.com/Link/Document/FullText?findType=Y&amp;serNum=1992018532&amp;pubNum=595&amp;originatingDoc=I777da39f3af411e28a21ccb9036b2470&amp;refType=RP&amp;fi=co_pp_sp_595_723&amp;originationContext=document&amp;vr=3.0&amp;rs=cblt1.0&amp;transitionType=DocumentItem&amp;contextData=(sc.Search)#co_pp_sp_595_723" TargetMode="External"/><Relationship Id="rId119" Type="http://schemas.openxmlformats.org/officeDocument/2006/relationships/hyperlink" Target="#co_anchor_F142029301530_1" TargetMode="External"/><Relationship Id="rId30" Type="http://schemas.openxmlformats.org/officeDocument/2006/relationships/hyperlink" Target="http://www.westlaw.com/Link/Document/FullText?findType=h&amp;pubNum=176284&amp;cite=0276556401&amp;originatingDoc=I777da39f3af411e28a21ccb9036b2470&amp;refType=RQ&amp;originationContext=document&amp;vr=3.0&amp;rs=cblt1.0&amp;transitionType=DocumentItem&amp;contextData=(sc.Search)" TargetMode="External"/><Relationship Id="rId31" Type="http://schemas.openxmlformats.org/officeDocument/2006/relationships/hyperlink" Target="http://www.westlaw.com/Link/Document/FullText?findType=h&amp;pubNum=176284&amp;cite=0208157001&amp;originatingDoc=I777da39f3af411e28a21ccb9036b2470&amp;refType=RQ&amp;originationContext=document&amp;vr=3.0&amp;rs=cblt1.0&amp;transitionType=DocumentItem&amp;contextData=(sc.Search)" TargetMode="External"/><Relationship Id="rId32" Type="http://schemas.openxmlformats.org/officeDocument/2006/relationships/hyperlink" Target="http://www.westlaw.com/Link/Document/FullText?findType=h&amp;pubNum=176284&amp;cite=0118506901&amp;originatingDoc=I777da39f3af411e28a21ccb9036b2470&amp;refType=RQ&amp;originationContext=document&amp;vr=3.0&amp;rs=cblt1.0&amp;transitionType=DocumentItem&amp;contextData=(sc.Search)" TargetMode="External"/><Relationship Id="rId33" Type="http://schemas.openxmlformats.org/officeDocument/2006/relationships/hyperlink" Target="http://www.westlaw.com/Link/Document/FullText?findType=h&amp;pubNum=176284&amp;cite=0134215401&amp;originatingDoc=I777da39f3af411e28a21ccb9036b2470&amp;refType=RQ&amp;originationContext=document&amp;vr=3.0&amp;rs=cblt1.0&amp;transitionType=DocumentItem&amp;contextData=(sc.Search)" TargetMode="External"/><Relationship Id="rId34" Type="http://schemas.openxmlformats.org/officeDocument/2006/relationships/hyperlink" Target="http://www.westlaw.com/Link/Document/FullText?findType=h&amp;pubNum=176284&amp;cite=0208157001&amp;originatingDoc=I777da39f3af411e28a21ccb9036b2470&amp;refType=RQ&amp;originationContext=document&amp;vr=3.0&amp;rs=cblt1.0&amp;transitionType=DocumentItem&amp;contextData=(sc.Search)" TargetMode="External"/><Relationship Id="rId35" Type="http://schemas.openxmlformats.org/officeDocument/2006/relationships/hyperlink" Target="http://www.westlaw.com/Link/Document/FullText?entityType=injury&amp;entityId=Ib89a8210475411db9765f9243f53508a&amp;originationContext=document&amp;transitionType=DocumentItem&amp;contextData=(sc.Default)&amp;vr=3.0&amp;rs=cblt1.0" TargetMode="External"/><Relationship Id="rId36" Type="http://schemas.openxmlformats.org/officeDocument/2006/relationships/hyperlink" Target="http://www.westlaw.com/Link/Document/FullText?entityType=gdrug&amp;entityId=I3b6a8033475111db9765f9243f53508a&amp;originationContext=document&amp;transitionType=DocumentItem&amp;contextData=(sc.Default)&amp;vr=3.0&amp;rs=cblt1.0" TargetMode="External"/><Relationship Id="rId37"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38"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39" Type="http://schemas.openxmlformats.org/officeDocument/2006/relationships/hyperlink" Target="http://www.westlaw.com/Link/Document/FullText?entityType=injury&amp;entityId=Ib89a8210475411db9765f9243f53508a&amp;originationContext=document&amp;transitionType=DocumentItem&amp;contextData=(sc.Default)&amp;vr=3.0&amp;rs=cblt1.0" TargetMode="External"/><Relationship Id="rId80" Type="http://schemas.openxmlformats.org/officeDocument/2006/relationships/hyperlink" Target="http://www.westlaw.com/Link/Document/FullText?findType=Y&amp;serNum=1987002954&amp;pubNum=595&amp;originatingDoc=I777da39f3af411e28a21ccb9036b2470&amp;refType=RP&amp;fi=co_pp_sp_595_81&amp;originationContext=document&amp;vr=3.0&amp;rs=cblt1.0&amp;transitionType=DocumentItem&amp;contextData=(sc.Search)#co_pp_sp_595_81" TargetMode="External"/><Relationship Id="rId81" Type="http://schemas.openxmlformats.org/officeDocument/2006/relationships/hyperlink" Target="http://www.westlaw.com/Link/Document/FullText?findType=Y&amp;serNum=1970126326&amp;pubNum=595&amp;originatingDoc=I777da39f3af411e28a21ccb9036b2470&amp;refType=RP&amp;fi=co_pp_sp_595_885&amp;originationContext=document&amp;vr=3.0&amp;rs=cblt1.0&amp;transitionType=DocumentItem&amp;contextData=(sc.Search)#co_pp_sp_595_885" TargetMode="External"/><Relationship Id="rId82" Type="http://schemas.openxmlformats.org/officeDocument/2006/relationships/hyperlink" Target="http://www.westlaw.com/Link/Document/FullText?findType=Y&amp;serNum=1970126326&amp;pubNum=595&amp;originatingDoc=I777da39f3af411e28a21ccb9036b2470&amp;refType=RP&amp;fi=co_pp_sp_595_885&amp;originationContext=document&amp;vr=3.0&amp;rs=cblt1.0&amp;transitionType=DocumentItem&amp;contextData=(sc.Search)#co_pp_sp_595_885" TargetMode="External"/><Relationship Id="rId83" Type="http://schemas.openxmlformats.org/officeDocument/2006/relationships/hyperlink" Target="http://www.westlaw.com/Link/Document/FullText?findType=Y&amp;serNum=1988030654&amp;pubNum=345&amp;originatingDoc=I777da39f3af411e28a21ccb9036b2470&amp;refType=RP&amp;fi=co_pp_sp_345_1305&amp;originationContext=document&amp;vr=3.0&amp;rs=cblt1.0&amp;transitionType=DocumentItem&amp;contextData=(sc.Search)#co_pp_sp_345_1305" TargetMode="External"/><Relationship Id="rId84" Type="http://schemas.openxmlformats.org/officeDocument/2006/relationships/hyperlink" Target="#co_anchor_F62029301530_1" TargetMode="External"/><Relationship Id="rId85" Type="http://schemas.openxmlformats.org/officeDocument/2006/relationships/hyperlink" Target="http://www.westlaw.com/Link/Document/FullText?findType=Y&amp;serNum=2004623363&amp;pubNum=595&amp;originatingDoc=I777da39f3af411e28a21ccb9036b2470&amp;refType=RP&amp;fi=co_pp_sp_595_687&amp;originationContext=document&amp;vr=3.0&amp;rs=cblt1.0&amp;transitionType=DocumentItem&amp;contextData=(sc.Search)#co_pp_sp_595_687" TargetMode="External"/><Relationship Id="rId86" Type="http://schemas.openxmlformats.org/officeDocument/2006/relationships/hyperlink" Target="http://www.westlaw.com/Link/Document/FullText?findType=Y&amp;serNum=2004077407&amp;pubNum=4637&amp;originatingDoc=I777da39f3af411e28a21ccb9036b2470&amp;refType=RP&amp;fi=co_pp_sp_4637_705&amp;originationContext=document&amp;vr=3.0&amp;rs=cblt1.0&amp;transitionType=DocumentItem&amp;contextData=(sc.Search)#co_pp_sp_4637_705" TargetMode="External"/><Relationship Id="rId87" Type="http://schemas.openxmlformats.org/officeDocument/2006/relationships/hyperlink" Target="http://www.westlaw.com/Link/Document/FullText?findType=Y&amp;serNum=1991173193&amp;pubNum=345&amp;originatingDoc=I777da39f3af411e28a21ccb9036b2470&amp;refType=RP&amp;fi=co_pp_sp_345_425&amp;originationContext=document&amp;vr=3.0&amp;rs=cblt1.0&amp;transitionType=DocumentItem&amp;contextData=(sc.Search)#co_pp_sp_345_425" TargetMode="External"/><Relationship Id="rId88" Type="http://schemas.openxmlformats.org/officeDocument/2006/relationships/hyperlink" Target="http://www.westlaw.com/Link/Document/FullText?findType=Y&amp;serNum=1987007294&amp;pubNum=345&amp;originatingDoc=I777da39f3af411e28a21ccb9036b2470&amp;refType=RP&amp;fi=co_pp_sp_345_190&amp;originationContext=document&amp;vr=3.0&amp;rs=cblt1.0&amp;transitionType=DocumentItem&amp;contextData=(sc.Search)#co_pp_sp_345_190" TargetMode="External"/><Relationship Id="rId89" Type="http://schemas.openxmlformats.org/officeDocument/2006/relationships/hyperlink" Target="http://www.westlaw.com/Link/Document/FullText?findType=Y&amp;serNum=1978197337&amp;pubNum=345&amp;originatingDoc=I777da39f3af411e28a21ccb9036b2470&amp;refType=RP&amp;fi=co_pp_sp_345_124&amp;originationContext=document&amp;vr=3.0&amp;rs=cblt1.0&amp;transitionType=DocumentItem&amp;contextData=(sc.Search)#co_pp_sp_345_124" TargetMode="External"/><Relationship Id="rId140"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41"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42"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43" Type="http://schemas.openxmlformats.org/officeDocument/2006/relationships/hyperlink" Target="http://www.westlaw.com/Link/Document/FullText?findType=Y&amp;serNum=1992018532&amp;pubNum=595&amp;originatingDoc=I777da39f3af411e28a21ccb9036b2470&amp;refType=RP&amp;fi=co_pp_sp_595_723&amp;originationContext=document&amp;vr=3.0&amp;rs=cblt1.0&amp;transitionType=DocumentItem&amp;contextData=(sc.Search)#co_pp_sp_595_723" TargetMode="External"/><Relationship Id="rId144"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45" Type="http://schemas.openxmlformats.org/officeDocument/2006/relationships/fontTable" Target="fontTable.xml"/><Relationship Id="rId14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9321</Words>
  <Characters>53131</Characters>
  <Application>Microsoft Macintosh Word</Application>
  <DocSecurity>0</DocSecurity>
  <Lines>442</Lines>
  <Paragraphs>124</Paragraphs>
  <ScaleCrop>false</ScaleCrop>
  <Company/>
  <LinksUpToDate>false</LinksUpToDate>
  <CharactersWithSpaces>62328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Elizabeth Burch</cp:lastModifiedBy>
  <cp:revision>2</cp:revision>
  <dcterms:created xsi:type="dcterms:W3CDTF">2017-01-10T14:52:00Z</dcterms:created>
  <dcterms:modified xsi:type="dcterms:W3CDTF">2017-01-10T14:52:00Z</dcterms:modified>
</cp:coreProperties>
</file>